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1B4BF" w14:textId="77777777" w:rsidR="006A785F" w:rsidRDefault="006A785F"/>
    <w:p w14:paraId="0D3866AC" w14:textId="77777777" w:rsidR="009D1A4D" w:rsidRDefault="009D1A4D"/>
    <w:p w14:paraId="4A92B2BD" w14:textId="77777777" w:rsidR="009D1A4D" w:rsidRDefault="009D1A4D"/>
    <w:p w14:paraId="16C4B044" w14:textId="231558FA" w:rsidR="00B7643D" w:rsidRPr="009B18D0" w:rsidRDefault="006F5B10" w:rsidP="009B18D0">
      <w:pPr>
        <w:jc w:val="center"/>
        <w:rPr>
          <w:b/>
          <w:bCs/>
          <w:sz w:val="28"/>
          <w:szCs w:val="28"/>
        </w:rPr>
      </w:pPr>
      <w:bookmarkStart w:id="0" w:name="_Hlk192055829"/>
      <w:r w:rsidRPr="009B18D0">
        <w:rPr>
          <w:b/>
          <w:bCs/>
          <w:sz w:val="28"/>
          <w:szCs w:val="28"/>
        </w:rPr>
        <w:t>Δελτίο Τύπου</w:t>
      </w:r>
    </w:p>
    <w:p w14:paraId="7107F132" w14:textId="41462833" w:rsidR="00C5468E" w:rsidRPr="00C5468E" w:rsidRDefault="002D1824" w:rsidP="00C5468E">
      <w:pPr>
        <w:jc w:val="right"/>
      </w:pPr>
      <w:r>
        <w:t>31</w:t>
      </w:r>
      <w:r w:rsidR="00C5468E" w:rsidRPr="00C5468E">
        <w:t xml:space="preserve"> Μαρτίου 2025</w:t>
      </w:r>
    </w:p>
    <w:p w14:paraId="3D5BA8BD" w14:textId="4E36090B" w:rsidR="00B7643D" w:rsidRPr="00325430" w:rsidRDefault="00B7643D" w:rsidP="009B18D0">
      <w:pPr>
        <w:pStyle w:val="1"/>
        <w:spacing w:before="120" w:after="120" w:line="240" w:lineRule="auto"/>
        <w:jc w:val="center"/>
        <w:rPr>
          <w:b/>
          <w:color w:val="002D83"/>
          <w:sz w:val="32"/>
          <w:szCs w:val="32"/>
        </w:rPr>
      </w:pPr>
      <w:r w:rsidRPr="00325430">
        <w:rPr>
          <w:b/>
          <w:color w:val="002D83"/>
          <w:sz w:val="32"/>
          <w:szCs w:val="32"/>
        </w:rPr>
        <w:t>Η οργανωμένη φροντιστηριακή εκπαίδευση</w:t>
      </w:r>
      <w:bookmarkStart w:id="1" w:name="_GoBack"/>
      <w:bookmarkEnd w:id="1"/>
      <w:r w:rsidR="009B18D0" w:rsidRPr="00325430">
        <w:rPr>
          <w:b/>
          <w:color w:val="002D83"/>
          <w:sz w:val="32"/>
          <w:szCs w:val="32"/>
        </w:rPr>
        <w:br/>
      </w:r>
      <w:r w:rsidRPr="00325430">
        <w:rPr>
          <w:b/>
          <w:color w:val="002D83"/>
          <w:sz w:val="32"/>
          <w:szCs w:val="32"/>
        </w:rPr>
        <w:t>στην σύγχρονη Ελλάδα</w:t>
      </w:r>
      <w:r w:rsidR="00A15E2F" w:rsidRPr="00325430">
        <w:rPr>
          <w:b/>
          <w:color w:val="002D83"/>
          <w:sz w:val="32"/>
          <w:szCs w:val="32"/>
        </w:rPr>
        <w:t>: όψεις των εκπαιδευτικών ανισοτήτων</w:t>
      </w:r>
    </w:p>
    <w:p w14:paraId="451A89FE" w14:textId="64786D15" w:rsidR="00B7643D" w:rsidRPr="00365CC5" w:rsidRDefault="00B7643D" w:rsidP="00B7643D">
      <w:pPr>
        <w:jc w:val="both"/>
      </w:pPr>
    </w:p>
    <w:p w14:paraId="2AFAE197" w14:textId="77777777" w:rsidR="000807DD" w:rsidRDefault="000807DD" w:rsidP="0049608D">
      <w:pPr>
        <w:jc w:val="both"/>
      </w:pPr>
      <w:r>
        <w:t>Η φ</w:t>
      </w:r>
      <w:r w:rsidR="0049608D" w:rsidRPr="00567546">
        <w:t xml:space="preserve">ροντιστηριακή εκπαίδευση αποτελεί ένα διαχρονικό δεδομένο το οποίο δεν έχει διερευνηθεί επαρκώς στην σύγχρονη Ελλάδα. Πέρα από περιγραφικές και επιδερμικές αποτυπώσεις δεν διαθέτουμε </w:t>
      </w:r>
      <w:r w:rsidR="0049608D" w:rsidRPr="000807DD">
        <w:rPr>
          <w:b/>
        </w:rPr>
        <w:t>έρευνες μακράς κλίμακας</w:t>
      </w:r>
      <w:r w:rsidR="0049608D" w:rsidRPr="00567546">
        <w:t xml:space="preserve"> </w:t>
      </w:r>
      <w:r w:rsidR="0049608D" w:rsidRPr="00800699">
        <w:rPr>
          <w:b/>
        </w:rPr>
        <w:t>με ποσοτικές και ποιοτικές διαστάσεις</w:t>
      </w:r>
      <w:r w:rsidR="0049608D" w:rsidRPr="00567546">
        <w:t xml:space="preserve"> </w:t>
      </w:r>
      <w:r w:rsidR="0049608D" w:rsidRPr="007678D0">
        <w:rPr>
          <w:b/>
        </w:rPr>
        <w:t>ώστε να κατανοηθεί αλλά και να ερμηνευθεί συντεταγμένα το εν λόγω φαινόμενο.</w:t>
      </w:r>
      <w:r w:rsidR="0049608D" w:rsidRPr="00567546">
        <w:t xml:space="preserve"> Ένα φαινόμενο που διαπερνά το σύνολο του εκπαιδευτικού συστήματος αλλά </w:t>
      </w:r>
      <w:r>
        <w:t xml:space="preserve">και </w:t>
      </w:r>
      <w:r w:rsidR="0049608D" w:rsidRPr="00567546">
        <w:t xml:space="preserve">ολόκληρο το φάσμα της ελληνικής κοινωνίας με χαρακτηριστικά </w:t>
      </w:r>
      <w:proofErr w:type="spellStart"/>
      <w:r w:rsidR="0049608D" w:rsidRPr="00567546">
        <w:t>διαγενεακά</w:t>
      </w:r>
      <w:proofErr w:type="spellEnd"/>
      <w:r w:rsidR="0049608D" w:rsidRPr="00567546">
        <w:t xml:space="preserve">, </w:t>
      </w:r>
      <w:proofErr w:type="spellStart"/>
      <w:r w:rsidR="0049608D" w:rsidRPr="00567546">
        <w:t>διαταξικά</w:t>
      </w:r>
      <w:proofErr w:type="spellEnd"/>
      <w:r w:rsidR="0049608D" w:rsidRPr="00567546">
        <w:t xml:space="preserve">, γεωγραφικά, περιφερειακά </w:t>
      </w:r>
      <w:proofErr w:type="spellStart"/>
      <w:r w:rsidR="0049608D" w:rsidRPr="00567546">
        <w:t>κ.α</w:t>
      </w:r>
      <w:proofErr w:type="spellEnd"/>
      <w:r w:rsidR="00567546">
        <w:t xml:space="preserve"> </w:t>
      </w:r>
    </w:p>
    <w:p w14:paraId="788BCA35" w14:textId="17140D24" w:rsidR="0049608D" w:rsidRPr="00567546" w:rsidRDefault="0049608D" w:rsidP="0049608D">
      <w:pPr>
        <w:jc w:val="both"/>
      </w:pPr>
      <w:r w:rsidRPr="00567546">
        <w:t>Είναι σαφές πως η φροντιστηριακή εκπαίδευση στην Ελλάδα συνδέεται με το φαινόμενο της «σκιώδους εκπαίδευσης» όπως αυτό αποτυπώνεται στη διεθνή βιβλιογραφία. Παρόλο που ο όρος «σκιώδης εκπαίδευση» περιλαμβάνει τις δαπάνες για φροντιστήρια και ιδιαίτερα μαθήματα</w:t>
      </w:r>
      <w:r w:rsidR="000807DD">
        <w:t>,</w:t>
      </w:r>
      <w:r w:rsidRPr="00567546">
        <w:t xml:space="preserve"> στη συγκεκριμένη περίπτωση η εστίαση - </w:t>
      </w:r>
      <w:r w:rsidRPr="000807DD">
        <w:rPr>
          <w:b/>
        </w:rPr>
        <w:t xml:space="preserve">για λόγους που συνδέονται με την πρόσβαση σε επίσημα στοιχεία </w:t>
      </w:r>
      <w:r w:rsidRPr="00567546">
        <w:t xml:space="preserve">-  γίνεται στις </w:t>
      </w:r>
      <w:r w:rsidRPr="000807DD">
        <w:rPr>
          <w:b/>
        </w:rPr>
        <w:t>μορφές φροντιστηρίου που είναι οργανωμένες και λειτουργούν βάσει του υπάρχοντος συγκεκριμένου θεσμικού πλαισίου στο πεδίο της μη τυπικής εκπαίδευσης</w:t>
      </w:r>
      <w:r w:rsidRPr="00567546">
        <w:t>.</w:t>
      </w:r>
    </w:p>
    <w:p w14:paraId="2E295573" w14:textId="0C79128A" w:rsidR="00567546" w:rsidRDefault="0049608D" w:rsidP="0049608D">
      <w:pPr>
        <w:jc w:val="both"/>
      </w:pPr>
      <w:r w:rsidRPr="00567546">
        <w:t>Με βάση το προαναφερθέν σκεπτικό το ΚΑΝΕΠ/ΓΣΕΕ πριν μερικούς μήνες,</w:t>
      </w:r>
      <w:r w:rsidR="00E25430">
        <w:t xml:space="preserve"> </w:t>
      </w:r>
      <w:r w:rsidRPr="00567546">
        <w:t>ολοκλήρωσε</w:t>
      </w:r>
      <w:r w:rsidR="00567546">
        <w:t xml:space="preserve"> ένα σημαντικό τμήμα μιας </w:t>
      </w:r>
      <w:r w:rsidRPr="00567546">
        <w:t>πανελλαδική</w:t>
      </w:r>
      <w:r w:rsidR="00567546">
        <w:t>ς</w:t>
      </w:r>
      <w:r w:rsidRPr="00567546">
        <w:t xml:space="preserve"> έρευνα</w:t>
      </w:r>
      <w:r w:rsidR="00567546">
        <w:t>ς</w:t>
      </w:r>
      <w:r w:rsidRPr="00567546">
        <w:t xml:space="preserve"> με ποσοτικά και ποιοτικά χαρακτηριστικά για την οργαν</w:t>
      </w:r>
      <w:r w:rsidR="00567546">
        <w:t>ωμένη φροντιστηριακή εκπαίδευση. Η έρευνα ωστόσο συνεχίζεται και μετά την ολοκλήρωσή της θα δημοσιευθεί σε μελλοντικές εκδόσεις του φορέα</w:t>
      </w:r>
      <w:r w:rsidR="00D23507">
        <w:t xml:space="preserve"> όταν θα έχουν αναλυθεί και σταθμισθεί πλήρως όλα τα δεδομένα και οι επεξεργασίες.</w:t>
      </w:r>
    </w:p>
    <w:p w14:paraId="3E49C7AB" w14:textId="59886933" w:rsidR="0076229A" w:rsidRPr="00A012DA" w:rsidRDefault="00325430" w:rsidP="0049608D">
      <w:pPr>
        <w:jc w:val="both"/>
      </w:pPr>
      <w:r>
        <w:t>Με αφορμή το εν λόγω ερευνητικό εγχείρημα, τ</w:t>
      </w:r>
      <w:r w:rsidR="006F5B10" w:rsidRPr="00567546">
        <w:t>ην</w:t>
      </w:r>
      <w:r w:rsidR="006F5B10" w:rsidRPr="00A012DA">
        <w:t xml:space="preserve"> </w:t>
      </w:r>
      <w:r w:rsidR="006F5B10" w:rsidRPr="00D23507">
        <w:rPr>
          <w:b/>
        </w:rPr>
        <w:t>Δευτέρα 24 Φεβρουαρίου 2025</w:t>
      </w:r>
      <w:r w:rsidR="006F5B10" w:rsidRPr="00A012DA">
        <w:t xml:space="preserve"> πραγματοποιήθηκε συνάντηση </w:t>
      </w:r>
      <w:r w:rsidR="006F5B10" w:rsidRPr="00A012DA">
        <w:rPr>
          <w:b/>
        </w:rPr>
        <w:t xml:space="preserve">Εργασίας Εμπειρογνωμόνων </w:t>
      </w:r>
      <w:r w:rsidR="006F5B10" w:rsidRPr="00A012DA">
        <w:t>με θέμα</w:t>
      </w:r>
      <w:r w:rsidR="0076229A" w:rsidRPr="00A012DA">
        <w:t xml:space="preserve"> την παρουσίαση </w:t>
      </w:r>
      <w:r w:rsidR="006F5B10" w:rsidRPr="00A012DA">
        <w:t>έρευνα</w:t>
      </w:r>
      <w:r w:rsidR="0076229A" w:rsidRPr="00A012DA">
        <w:t>ς</w:t>
      </w:r>
      <w:r w:rsidR="006F5B10" w:rsidRPr="00A012DA">
        <w:t xml:space="preserve"> του ΚΑΝΕΠ/ΓΣΕΕ με τίτλο «</w:t>
      </w:r>
      <w:r w:rsidR="006F5B10" w:rsidRPr="00325430">
        <w:rPr>
          <w:b/>
          <w:i/>
        </w:rPr>
        <w:t>Οργανωμένη φροντιστηριακή εκπαίδευση στην Δευτεροβάθμια Εκπαίδευση: ερευνητικά  ευρήματα μιας πρώτης ποσοτικής και ποιοτικής προσέγγισης</w:t>
      </w:r>
      <w:r w:rsidR="0076229A" w:rsidRPr="00A012DA">
        <w:t xml:space="preserve">». </w:t>
      </w:r>
    </w:p>
    <w:p w14:paraId="35000525" w14:textId="6CBF80F2" w:rsidR="0076229A" w:rsidRPr="00A012DA" w:rsidRDefault="0076229A" w:rsidP="00B7643D">
      <w:pPr>
        <w:jc w:val="both"/>
      </w:pPr>
      <w:r w:rsidRPr="00A012DA">
        <w:t xml:space="preserve">Στη συνάντηση </w:t>
      </w:r>
      <w:r w:rsidR="006F5B10" w:rsidRPr="00A012DA">
        <w:t>συμμετείχαν Ερευνητές</w:t>
      </w:r>
      <w:r w:rsidRPr="00A012DA">
        <w:t xml:space="preserve"> &amp; </w:t>
      </w:r>
      <w:r w:rsidR="006F5B10" w:rsidRPr="00A012DA">
        <w:t>Επιστημονικοί Συνεργάτες από το ΙΝΕ-</w:t>
      </w:r>
      <w:r w:rsidRPr="00A012DA">
        <w:t xml:space="preserve"> Κ</w:t>
      </w:r>
      <w:r w:rsidR="006F5B10" w:rsidRPr="00A012DA">
        <w:t>ΑΝΕΠ/ΓΣΕΕ, Πανεπιστημιακοί Καθηγητές</w:t>
      </w:r>
      <w:r w:rsidRPr="00A012DA">
        <w:t>,</w:t>
      </w:r>
      <w:r w:rsidR="006F5B10" w:rsidRPr="00A012DA">
        <w:t xml:space="preserve"> Εκπαιδευτικοί/Φροντιστές</w:t>
      </w:r>
      <w:r w:rsidRPr="00A012DA">
        <w:t xml:space="preserve"> καθώς και εκπρόσωποι Κοινωνικών Εταίρων (</w:t>
      </w:r>
      <w:r w:rsidR="006F5B10" w:rsidRPr="00A012DA">
        <w:t>ΣΕΒ, ΓΣΕΒΕΕ, ΟΙΕΛΕ, ΔΟΕ</w:t>
      </w:r>
      <w:r w:rsidRPr="00A012DA">
        <w:t>, ΟΕΦΕ</w:t>
      </w:r>
      <w:r w:rsidR="006F5B10" w:rsidRPr="00A012DA">
        <w:t xml:space="preserve"> κ.α.). </w:t>
      </w:r>
    </w:p>
    <w:p w14:paraId="1822C554" w14:textId="77777777" w:rsidR="00A15E2F" w:rsidRPr="00A012DA" w:rsidRDefault="006F5B10" w:rsidP="00B7643D">
      <w:pPr>
        <w:jc w:val="both"/>
      </w:pPr>
      <w:r w:rsidRPr="00A012DA">
        <w:t xml:space="preserve">Στη συνάντηση παρουσιάστηκαν </w:t>
      </w:r>
      <w:r w:rsidR="00C5468E" w:rsidRPr="00A012DA">
        <w:t>τα πιο πρόσφατα στοιχεία για τις δαπάνες των ελληνικών νοικοκυριών για φροντιστήρια γενικής παιδείας</w:t>
      </w:r>
      <w:r w:rsidR="00D5444E" w:rsidRPr="00A012DA">
        <w:t xml:space="preserve"> την τελευταία δεκαετία</w:t>
      </w:r>
      <w:r w:rsidR="00C5468E" w:rsidRPr="00A012DA">
        <w:t xml:space="preserve">, καθώς και </w:t>
      </w:r>
      <w:r w:rsidRPr="00A012DA">
        <w:t xml:space="preserve">ορισμένα πρώτα ευρήματα πανελλαδικής έρευνας με ποσοτικά και ποιοτικά χαρακτηριστικά για την οργανωμένη φροντιστηριακή εκπαίδευση.  </w:t>
      </w:r>
    </w:p>
    <w:p w14:paraId="55BA1128" w14:textId="77777777" w:rsidR="00161600" w:rsidRDefault="00B7643D" w:rsidP="00B7643D">
      <w:pPr>
        <w:jc w:val="both"/>
      </w:pPr>
      <w:r w:rsidRPr="00A012DA">
        <w:t xml:space="preserve">Τα ευρήματα αυτής της </w:t>
      </w:r>
      <w:r w:rsidR="00A15E2F" w:rsidRPr="00A012DA">
        <w:t xml:space="preserve">εν λόγω </w:t>
      </w:r>
      <w:r w:rsidRPr="00A012DA">
        <w:t xml:space="preserve"> έρευνας </w:t>
      </w:r>
      <w:r w:rsidRPr="00161600">
        <w:rPr>
          <w:b/>
        </w:rPr>
        <w:t xml:space="preserve">παρέχουν σημαντικές πληροφορίες για τις </w:t>
      </w:r>
      <w:r w:rsidR="00567546" w:rsidRPr="00161600">
        <w:rPr>
          <w:b/>
        </w:rPr>
        <w:t xml:space="preserve">στάσεις, τις </w:t>
      </w:r>
      <w:r w:rsidRPr="00161600">
        <w:rPr>
          <w:b/>
        </w:rPr>
        <w:t xml:space="preserve">αντιλήψεις </w:t>
      </w:r>
      <w:r w:rsidR="00567546" w:rsidRPr="00161600">
        <w:rPr>
          <w:b/>
        </w:rPr>
        <w:t xml:space="preserve">αλλά </w:t>
      </w:r>
      <w:r w:rsidRPr="00161600">
        <w:rPr>
          <w:b/>
        </w:rPr>
        <w:t>και τις πρακτικές των οικογενειών</w:t>
      </w:r>
      <w:r w:rsidRPr="00A012DA">
        <w:t xml:space="preserve"> αναφορικά με την εξωσχολική</w:t>
      </w:r>
      <w:r w:rsidR="00A15E2F" w:rsidRPr="00A012DA">
        <w:t xml:space="preserve"> οργανωμένη φροντιστηριακή</w:t>
      </w:r>
      <w:r w:rsidRPr="00A012DA">
        <w:t xml:space="preserve"> εκπαίδευση, ενισχύοντας </w:t>
      </w:r>
      <w:r w:rsidRPr="00161600">
        <w:rPr>
          <w:b/>
        </w:rPr>
        <w:t xml:space="preserve">την κατανόηση των δαπανών </w:t>
      </w:r>
      <w:r w:rsidR="00A15E2F" w:rsidRPr="00161600">
        <w:rPr>
          <w:b/>
        </w:rPr>
        <w:t xml:space="preserve">αλλά </w:t>
      </w:r>
      <w:r w:rsidRPr="00161600">
        <w:rPr>
          <w:b/>
        </w:rPr>
        <w:t>και των προκλήσεων που αντιμετ</w:t>
      </w:r>
      <w:r w:rsidR="00A15E2F" w:rsidRPr="00161600">
        <w:rPr>
          <w:b/>
        </w:rPr>
        <w:t>ωπίζουν οι ελληνικές οικογένειες</w:t>
      </w:r>
      <w:r w:rsidR="00A15E2F" w:rsidRPr="00A012DA">
        <w:t xml:space="preserve"> αναδεικνύοντας τις τάσεις αλλά </w:t>
      </w:r>
      <w:r w:rsidR="00A15E2F" w:rsidRPr="00161600">
        <w:rPr>
          <w:b/>
        </w:rPr>
        <w:t>και τις εξελίξεις στο πεδίο των εκπαιδευτικών ανισοτήτων.</w:t>
      </w:r>
      <w:r w:rsidR="00567546">
        <w:t xml:space="preserve"> </w:t>
      </w:r>
    </w:p>
    <w:p w14:paraId="240BD89D" w14:textId="77777777" w:rsidR="00503A6E" w:rsidRDefault="00567546" w:rsidP="00B7643D">
      <w:pPr>
        <w:jc w:val="both"/>
        <w:rPr>
          <w:b/>
        </w:rPr>
      </w:pPr>
      <w:r>
        <w:lastRenderedPageBreak/>
        <w:t>Τα πορίσματα της έρευνας είναι σημαντικό να μη διαβαστούν αποσπασματικά</w:t>
      </w:r>
      <w:r w:rsidR="00800699">
        <w:t>,</w:t>
      </w:r>
      <w:r>
        <w:t xml:space="preserve"> </w:t>
      </w:r>
      <w:r w:rsidRPr="00161600">
        <w:rPr>
          <w:b/>
        </w:rPr>
        <w:t>αλλά στην ολότητα</w:t>
      </w:r>
      <w:r>
        <w:t xml:space="preserve"> </w:t>
      </w:r>
      <w:r w:rsidR="00E25430" w:rsidRPr="00E25430">
        <w:rPr>
          <w:b/>
        </w:rPr>
        <w:t>και τη συνέχεια</w:t>
      </w:r>
      <w:r w:rsidR="00E25430">
        <w:t xml:space="preserve"> </w:t>
      </w:r>
      <w:r w:rsidRPr="00567546">
        <w:rPr>
          <w:b/>
        </w:rPr>
        <w:t>ενός διαχρονικού φαινομένου που αναδεικνύει δομικές αδυναμίες, κοινωνικές αντιφάσει</w:t>
      </w:r>
      <w:r w:rsidR="00800699">
        <w:rPr>
          <w:b/>
        </w:rPr>
        <w:t>ς, παθογένειες, ανορθολογισμ</w:t>
      </w:r>
      <w:r w:rsidR="00E25430">
        <w:rPr>
          <w:b/>
        </w:rPr>
        <w:t>ούς</w:t>
      </w:r>
      <w:r w:rsidRPr="00567546">
        <w:rPr>
          <w:b/>
        </w:rPr>
        <w:t xml:space="preserve"> αλλά και </w:t>
      </w:r>
      <w:r w:rsidR="00161600">
        <w:rPr>
          <w:b/>
        </w:rPr>
        <w:t>«</w:t>
      </w:r>
      <w:r w:rsidRPr="00567546">
        <w:rPr>
          <w:b/>
        </w:rPr>
        <w:t>παραδοξότητες</w:t>
      </w:r>
      <w:r w:rsidR="00161600">
        <w:rPr>
          <w:b/>
        </w:rPr>
        <w:t>»</w:t>
      </w:r>
      <w:r w:rsidRPr="00567546">
        <w:rPr>
          <w:b/>
        </w:rPr>
        <w:t xml:space="preserve"> που συνδέονται με το ευρύτερο φάσμα των εκπαιδευτικών και κοινωνικών ανισοτήτων στη νεοελληνική κοινωνία.</w:t>
      </w:r>
      <w:r w:rsidR="000A2EEC">
        <w:rPr>
          <w:b/>
        </w:rPr>
        <w:t xml:space="preserve"> </w:t>
      </w:r>
    </w:p>
    <w:p w14:paraId="64C420EF" w14:textId="3D16857D" w:rsidR="00252025" w:rsidRPr="005B4043" w:rsidRDefault="000A2EEC" w:rsidP="00B7643D">
      <w:pPr>
        <w:jc w:val="both"/>
        <w:rPr>
          <w:bCs/>
        </w:rPr>
      </w:pPr>
      <w:r w:rsidRPr="005B4043">
        <w:rPr>
          <w:bCs/>
        </w:rPr>
        <w:t>Είναι επίσης σημαντικό να ιδωθούν</w:t>
      </w:r>
      <w:r w:rsidR="00252025" w:rsidRPr="005B4043">
        <w:rPr>
          <w:bCs/>
        </w:rPr>
        <w:t xml:space="preserve"> κριτικά και </w:t>
      </w:r>
      <w:proofErr w:type="spellStart"/>
      <w:r w:rsidR="00252025" w:rsidRPr="005B4043">
        <w:rPr>
          <w:bCs/>
        </w:rPr>
        <w:t>αναστοχαστικά</w:t>
      </w:r>
      <w:proofErr w:type="spellEnd"/>
      <w:r w:rsidR="00252025" w:rsidRPr="005B4043">
        <w:rPr>
          <w:bCs/>
        </w:rPr>
        <w:t xml:space="preserve"> και το κυριότερο να συνδεθούν με </w:t>
      </w:r>
      <w:r w:rsidRPr="005B4043">
        <w:rPr>
          <w:bCs/>
        </w:rPr>
        <w:t xml:space="preserve">τη επιβεβλημένη </w:t>
      </w:r>
      <w:r w:rsidR="00252025" w:rsidRPr="005B4043">
        <w:rPr>
          <w:bCs/>
        </w:rPr>
        <w:t xml:space="preserve">και σθεναρή </w:t>
      </w:r>
      <w:r w:rsidRPr="005B4043">
        <w:rPr>
          <w:bCs/>
        </w:rPr>
        <w:t xml:space="preserve">ενίσχυση: </w:t>
      </w:r>
    </w:p>
    <w:p w14:paraId="1D095230" w14:textId="394CA94F" w:rsidR="00252025" w:rsidRPr="005B4043" w:rsidRDefault="000A2EEC" w:rsidP="00252025">
      <w:pPr>
        <w:pStyle w:val="a6"/>
        <w:numPr>
          <w:ilvl w:val="0"/>
          <w:numId w:val="5"/>
        </w:numPr>
        <w:jc w:val="both"/>
        <w:rPr>
          <w:bCs/>
        </w:rPr>
      </w:pPr>
      <w:r w:rsidRPr="005B4043">
        <w:rPr>
          <w:bCs/>
        </w:rPr>
        <w:t xml:space="preserve">των πολιτικών για τη δημόσια εκπαίδευση (πόροι, ανθρώπινο δυναμικό, υποδομές, προγράμματα σπουδών, διδακτικές μεθοδολογίες, </w:t>
      </w:r>
      <w:r w:rsidR="00252025" w:rsidRPr="005B4043">
        <w:rPr>
          <w:bCs/>
        </w:rPr>
        <w:t xml:space="preserve">ποιότητα μαθησιακών αποτελεσμάτων, πιστοποίηση </w:t>
      </w:r>
      <w:r w:rsidRPr="005B4043">
        <w:rPr>
          <w:bCs/>
        </w:rPr>
        <w:t>προσόντων</w:t>
      </w:r>
      <w:r w:rsidR="005B4043" w:rsidRPr="005B4043">
        <w:rPr>
          <w:bCs/>
        </w:rPr>
        <w:t>,</w:t>
      </w:r>
      <w:r w:rsidRPr="005B4043">
        <w:rPr>
          <w:bCs/>
        </w:rPr>
        <w:t xml:space="preserve"> σύνδεση με την απασχόληση κ.α</w:t>
      </w:r>
      <w:r w:rsidR="005B4043" w:rsidRPr="005B4043">
        <w:rPr>
          <w:bCs/>
        </w:rPr>
        <w:t>.</w:t>
      </w:r>
      <w:r w:rsidRPr="005B4043">
        <w:rPr>
          <w:bCs/>
        </w:rPr>
        <w:t xml:space="preserve">) </w:t>
      </w:r>
    </w:p>
    <w:p w14:paraId="03F78F2D" w14:textId="77777777" w:rsidR="00252025" w:rsidRPr="005B4043" w:rsidRDefault="000A2EEC" w:rsidP="00252025">
      <w:pPr>
        <w:pStyle w:val="a6"/>
        <w:numPr>
          <w:ilvl w:val="0"/>
          <w:numId w:val="5"/>
        </w:numPr>
        <w:jc w:val="both"/>
        <w:rPr>
          <w:bCs/>
        </w:rPr>
      </w:pPr>
      <w:r w:rsidRPr="005B4043">
        <w:rPr>
          <w:bCs/>
        </w:rPr>
        <w:t xml:space="preserve">των παρεμβάσεων υπέρ των κοινωνικά και οικονομικά ασθενέστερων, </w:t>
      </w:r>
    </w:p>
    <w:p w14:paraId="5B2B8DF4" w14:textId="2159900A" w:rsidR="00A15E2F" w:rsidRPr="005B4043" w:rsidRDefault="000A2EEC" w:rsidP="00252025">
      <w:pPr>
        <w:pStyle w:val="a6"/>
        <w:numPr>
          <w:ilvl w:val="0"/>
          <w:numId w:val="5"/>
        </w:numPr>
        <w:jc w:val="both"/>
        <w:rPr>
          <w:bCs/>
        </w:rPr>
      </w:pPr>
      <w:r w:rsidRPr="005B4043">
        <w:rPr>
          <w:bCs/>
        </w:rPr>
        <w:t>των στρατηγικών άμβλυνσης των εκπαιδευτικών και κοινωνικών ανισοτήτων.</w:t>
      </w:r>
    </w:p>
    <w:p w14:paraId="2E428241" w14:textId="77777777" w:rsidR="00252025" w:rsidRPr="00503A6E" w:rsidRDefault="00252025" w:rsidP="00B7643D">
      <w:pPr>
        <w:jc w:val="both"/>
        <w:rPr>
          <w:b/>
        </w:rPr>
      </w:pPr>
    </w:p>
    <w:p w14:paraId="07763A44" w14:textId="52282D0C" w:rsidR="00A15E2F" w:rsidRPr="00A012DA" w:rsidRDefault="00A15E2F" w:rsidP="00B7643D">
      <w:pPr>
        <w:jc w:val="both"/>
      </w:pPr>
      <w:r w:rsidRPr="00A012DA">
        <w:t>Τα πρακτικά της συνάντησης εργασίας θα αποτελέσουν αντικείμενο επεξεργασίας από το ΚΑΝΕΠ/ΓΣΕΕ και θα συσχετισθούν με τα ευρήματα της έρευνας η οποία είναι σε εξέλιξη.</w:t>
      </w:r>
      <w:r w:rsidR="00800699">
        <w:t xml:space="preserve"> Να σημειωθεί επίσης πως η </w:t>
      </w:r>
      <w:r w:rsidRPr="00A012DA">
        <w:t xml:space="preserve">έρευνα του ΚΑΝΕΠ/ΓΣΕΕ ενισχύθηκε από </w:t>
      </w:r>
      <w:r w:rsidRPr="00567546">
        <w:rPr>
          <w:b/>
        </w:rPr>
        <w:t xml:space="preserve">τη συνδρομή της </w:t>
      </w:r>
      <w:r w:rsidR="005B4043">
        <w:rPr>
          <w:b/>
        </w:rPr>
        <w:t xml:space="preserve">εταιρίας ερευνών </w:t>
      </w:r>
      <w:r w:rsidRPr="00567546">
        <w:rPr>
          <w:b/>
        </w:rPr>
        <w:t xml:space="preserve">ΜΕΤΡΟΝ </w:t>
      </w:r>
      <w:r w:rsidRPr="00567546">
        <w:rPr>
          <w:b/>
          <w:lang w:val="en-US"/>
        </w:rPr>
        <w:t>ANALYSIS</w:t>
      </w:r>
      <w:r w:rsidR="00800699">
        <w:rPr>
          <w:b/>
        </w:rPr>
        <w:t>,</w:t>
      </w:r>
      <w:r w:rsidRPr="00A012DA">
        <w:t xml:space="preserve"> η οποία για λογαριασμό του φορέα διενήργη</w:t>
      </w:r>
      <w:r w:rsidR="005B4043">
        <w:t xml:space="preserve">σε ποσοτική και ποιοτική έρευνα (συνεντεύξεις και ομάδες εστίασης) </w:t>
      </w:r>
      <w:r w:rsidR="001D35CD">
        <w:t xml:space="preserve">με σκοπό την ερευνητική πλαισίωση και υποστήριξη του εγχειρήματος. </w:t>
      </w:r>
    </w:p>
    <w:p w14:paraId="4AC6FA9D" w14:textId="77777777" w:rsidR="00A15E2F" w:rsidRPr="00842D64" w:rsidRDefault="00A15E2F" w:rsidP="00B7643D">
      <w:pPr>
        <w:jc w:val="both"/>
        <w:rPr>
          <w:color w:val="FF0000"/>
        </w:rPr>
      </w:pPr>
    </w:p>
    <w:p w14:paraId="262CA84C" w14:textId="6EC9B238" w:rsidR="00B7643D" w:rsidRDefault="00AD2766" w:rsidP="001D35CD">
      <w:pPr>
        <w:jc w:val="center"/>
      </w:pPr>
      <w:r>
        <w:t>Ακολουθούν τα βασικά πρώτα πορίσματα ανά θεματική.</w:t>
      </w:r>
    </w:p>
    <w:p w14:paraId="52F5B6C3" w14:textId="77777777" w:rsidR="00B7643D" w:rsidRDefault="00B7643D" w:rsidP="00B7643D">
      <w:pPr>
        <w:jc w:val="both"/>
      </w:pPr>
    </w:p>
    <w:p w14:paraId="377137B9" w14:textId="602FCAEF" w:rsidR="00B7643D" w:rsidRPr="00441FFF" w:rsidRDefault="00B7643D" w:rsidP="00B7643D">
      <w:pPr>
        <w:pStyle w:val="2"/>
      </w:pPr>
      <w:r>
        <w:t>Α. Δαπάνες των ελληνικών νοικοκυριών</w:t>
      </w:r>
      <w:r w:rsidR="002133E8">
        <w:t xml:space="preserve"> για φροντιστήρια</w:t>
      </w:r>
    </w:p>
    <w:p w14:paraId="0D7388BB" w14:textId="4A678CF7" w:rsidR="00B7643D" w:rsidRDefault="00B7643D" w:rsidP="00B7643D">
      <w:pPr>
        <w:jc w:val="both"/>
      </w:pPr>
      <w:r w:rsidRPr="00D77C48">
        <w:t xml:space="preserve">Οι δαπάνες </w:t>
      </w:r>
      <w:r w:rsidR="00D5444E" w:rsidRPr="00D77C48">
        <w:t xml:space="preserve">των </w:t>
      </w:r>
      <w:r w:rsidR="00D5444E">
        <w:t xml:space="preserve">ελληνικών </w:t>
      </w:r>
      <w:r w:rsidR="00D5444E" w:rsidRPr="00D77C48">
        <w:t xml:space="preserve">νοικοκυριών </w:t>
      </w:r>
      <w:r w:rsidRPr="00D77C48">
        <w:t>αντικατοπτρίζουν την επένδυση των ελληνικών νοικοκυριών για εξωσχολική υποστήριξη των μαθητών/σπουδαστών. Τα στοιχεία προέρχονται από την Έρευνα Οικογενειακών Προϋπολογισμών, η οποία διενεργείται κατ’ έτος από την ΕΛ.ΣΤΑΤ. και καλύπτει ένα αντιπροσωπευτικό δείγμα του πληθυσμού, επιτρέποντας τη στατιστική ανάλυση των δαπανών σε εθνικό επίπεδο.</w:t>
      </w:r>
      <w:r>
        <w:t xml:space="preserve"> Τα βασικά ευρήματα είναι τα ακόλουθα:</w:t>
      </w:r>
    </w:p>
    <w:p w14:paraId="24511D37" w14:textId="2B599416" w:rsidR="00B7643D" w:rsidRDefault="00B7643D" w:rsidP="00B7643D">
      <w:pPr>
        <w:pStyle w:val="a6"/>
        <w:numPr>
          <w:ilvl w:val="0"/>
          <w:numId w:val="1"/>
        </w:numPr>
        <w:jc w:val="both"/>
      </w:pPr>
      <w:r>
        <w:t xml:space="preserve">Τα ελληνικά νοικοκυριά το </w:t>
      </w:r>
      <w:r w:rsidRPr="00842D64">
        <w:rPr>
          <w:b/>
        </w:rPr>
        <w:t xml:space="preserve">2023 δαπάνησαν συνολικά σχεδόν </w:t>
      </w:r>
      <w:r w:rsidRPr="00842D64">
        <w:rPr>
          <w:b/>
          <w:bCs/>
        </w:rPr>
        <w:t>614 εκατ</w:t>
      </w:r>
      <w:r w:rsidRPr="00D77C48">
        <w:rPr>
          <w:b/>
          <w:bCs/>
        </w:rPr>
        <w:t>. €</w:t>
      </w:r>
      <w:r>
        <w:t xml:space="preserve"> για </w:t>
      </w:r>
      <w:r w:rsidRPr="00842D64">
        <w:rPr>
          <w:b/>
        </w:rPr>
        <w:t>φροντιστήρια γενικής εκπαίδευσης</w:t>
      </w:r>
      <w:r>
        <w:t xml:space="preserve">. Το ποσό αυτό αντιστοιχεί στο </w:t>
      </w:r>
      <w:r w:rsidRPr="00333E03">
        <w:rPr>
          <w:b/>
          <w:bCs/>
        </w:rPr>
        <w:t>16,2%</w:t>
      </w:r>
      <w:r>
        <w:t xml:space="preserve"> των δαπανών τους για αγαθά και υπηρεσίες εκπαίδευσης και στο </w:t>
      </w:r>
      <w:r w:rsidRPr="00333E03">
        <w:rPr>
          <w:b/>
          <w:bCs/>
        </w:rPr>
        <w:t>0,7%</w:t>
      </w:r>
      <w:r>
        <w:t xml:space="preserve"> της συνολικής καταναλωτικής τους δαπάνης. </w:t>
      </w:r>
      <w:r w:rsidRPr="003C545F">
        <w:t xml:space="preserve">Η δαπάνη αυτή </w:t>
      </w:r>
      <w:r>
        <w:t xml:space="preserve">ενώ </w:t>
      </w:r>
      <w:r w:rsidRPr="003C545F">
        <w:t xml:space="preserve">από το </w:t>
      </w:r>
      <w:r w:rsidRPr="00842D64">
        <w:rPr>
          <w:b/>
        </w:rPr>
        <w:t>2013 έως το 2020</w:t>
      </w:r>
      <w:r w:rsidRPr="003C545F">
        <w:t xml:space="preserve"> </w:t>
      </w:r>
      <w:r>
        <w:t>παρουσιάζει</w:t>
      </w:r>
      <w:r w:rsidRPr="003C545F">
        <w:t xml:space="preserve"> μια φθίνουσα πορεία</w:t>
      </w:r>
      <w:r>
        <w:t xml:space="preserve">, την τελευταία διετία (2021-2023) καταγράφει μια </w:t>
      </w:r>
      <w:r w:rsidRPr="00D86BB3">
        <w:rPr>
          <w:b/>
          <w:bCs/>
        </w:rPr>
        <w:t>απότομη αύξηση της τάξης του 36%</w:t>
      </w:r>
      <w:r>
        <w:t xml:space="preserve"> (σε στ</w:t>
      </w:r>
      <w:r w:rsidR="00842D64">
        <w:t>αθερές-</w:t>
      </w:r>
      <w:proofErr w:type="spellStart"/>
      <w:r w:rsidR="00842D64">
        <w:t>αποπληθωρισμένες</w:t>
      </w:r>
      <w:proofErr w:type="spellEnd"/>
      <w:r w:rsidR="00842D64">
        <w:t xml:space="preserve"> τιμές).</w:t>
      </w:r>
    </w:p>
    <w:p w14:paraId="56DA920F" w14:textId="09CB02B5" w:rsidR="00B7643D" w:rsidRDefault="00B7643D" w:rsidP="00B7643D">
      <w:pPr>
        <w:pStyle w:val="a6"/>
        <w:numPr>
          <w:ilvl w:val="0"/>
          <w:numId w:val="1"/>
        </w:numPr>
        <w:jc w:val="both"/>
      </w:pPr>
      <w:r>
        <w:t xml:space="preserve">Το </w:t>
      </w:r>
      <w:r w:rsidRPr="00D77C48">
        <w:rPr>
          <w:b/>
          <w:bCs/>
        </w:rPr>
        <w:t>4,2%</w:t>
      </w:r>
      <w:r>
        <w:t xml:space="preserve"> των δαπανών για φροντιστήρια γενικής εκπαίδευσης αφορά </w:t>
      </w:r>
      <w:r w:rsidR="00842D64">
        <w:t>σ</w:t>
      </w:r>
      <w:r>
        <w:t xml:space="preserve">την </w:t>
      </w:r>
      <w:r w:rsidRPr="00D77C48">
        <w:rPr>
          <w:b/>
          <w:bCs/>
        </w:rPr>
        <w:t>πρωτοβάθμια</w:t>
      </w:r>
      <w:r>
        <w:t xml:space="preserve"> </w:t>
      </w:r>
      <w:r w:rsidRPr="00333E03">
        <w:rPr>
          <w:b/>
          <w:bCs/>
        </w:rPr>
        <w:t>εκπαίδευση</w:t>
      </w:r>
      <w:r>
        <w:t xml:space="preserve">. Εντυπωσιακό είναι ότι η δαπάνη αυτή </w:t>
      </w:r>
      <w:r w:rsidRPr="00F25C4E">
        <w:t xml:space="preserve">έχει </w:t>
      </w:r>
      <w:r w:rsidRPr="00F25C4E">
        <w:rPr>
          <w:b/>
          <w:bCs/>
        </w:rPr>
        <w:t>4πλασιαστεί</w:t>
      </w:r>
      <w:r w:rsidRPr="00F25C4E">
        <w:t xml:space="preserve">: από </w:t>
      </w:r>
      <w:r w:rsidRPr="00842D64">
        <w:rPr>
          <w:b/>
        </w:rPr>
        <w:t xml:space="preserve">5,9 </w:t>
      </w:r>
      <w:proofErr w:type="spellStart"/>
      <w:r w:rsidRPr="00842D64">
        <w:rPr>
          <w:b/>
        </w:rPr>
        <w:t>εκατ.€</w:t>
      </w:r>
      <w:proofErr w:type="spellEnd"/>
      <w:r w:rsidRPr="00F25C4E">
        <w:t xml:space="preserve"> το 2013 έχει ανέλθει σε </w:t>
      </w:r>
      <w:r w:rsidRPr="00F25C4E">
        <w:rPr>
          <w:b/>
          <w:bCs/>
        </w:rPr>
        <w:t xml:space="preserve">26,1 </w:t>
      </w:r>
      <w:proofErr w:type="spellStart"/>
      <w:r w:rsidRPr="00F25C4E">
        <w:rPr>
          <w:b/>
          <w:bCs/>
        </w:rPr>
        <w:t>εκατ.€</w:t>
      </w:r>
      <w:proofErr w:type="spellEnd"/>
      <w:r w:rsidRPr="00F25C4E">
        <w:t xml:space="preserve"> το 2023</w:t>
      </w:r>
      <w:r>
        <w:t xml:space="preserve">, γεγονός που αποδίδεται στην ανάπτυξη των </w:t>
      </w:r>
      <w:r w:rsidR="00842D64">
        <w:t>Κέντρων Μ</w:t>
      </w:r>
      <w:r>
        <w:t>ελέτης τα τελευταία χρόνια.</w:t>
      </w:r>
    </w:p>
    <w:p w14:paraId="1A222371" w14:textId="77777777" w:rsidR="00B7643D" w:rsidRPr="00842D64" w:rsidRDefault="00B7643D" w:rsidP="00B7643D">
      <w:pPr>
        <w:pStyle w:val="a6"/>
        <w:numPr>
          <w:ilvl w:val="0"/>
          <w:numId w:val="1"/>
        </w:numPr>
        <w:jc w:val="both"/>
        <w:rPr>
          <w:b/>
        </w:rPr>
      </w:pPr>
      <w:r w:rsidRPr="00333E03">
        <w:t xml:space="preserve">Η </w:t>
      </w:r>
      <w:r w:rsidRPr="00333E03">
        <w:rPr>
          <w:b/>
          <w:bCs/>
        </w:rPr>
        <w:t>δευτεροβάθμια εκπαίδευση</w:t>
      </w:r>
      <w:r w:rsidRPr="00333E03">
        <w:t xml:space="preserve"> απορροφά τη συντριπτική πλειονότητα των δαπανών για φροντιστήρια </w:t>
      </w:r>
      <w:r w:rsidRPr="00842D64">
        <w:rPr>
          <w:b/>
        </w:rPr>
        <w:t>(94,6%),</w:t>
      </w:r>
      <w:r w:rsidRPr="00333E03">
        <w:t xml:space="preserve"> φτάνοντας </w:t>
      </w:r>
      <w:r>
        <w:t xml:space="preserve">στα </w:t>
      </w:r>
      <w:r w:rsidRPr="00F25C4E">
        <w:rPr>
          <w:b/>
          <w:bCs/>
        </w:rPr>
        <w:t xml:space="preserve">580,9 </w:t>
      </w:r>
      <w:proofErr w:type="spellStart"/>
      <w:r w:rsidRPr="00F25C4E">
        <w:rPr>
          <w:b/>
          <w:bCs/>
        </w:rPr>
        <w:t>εκατ.€</w:t>
      </w:r>
      <w:proofErr w:type="spellEnd"/>
      <w:r>
        <w:t xml:space="preserve">. Αυτή η κατανομή αντανακλά, φυσικά, την αυξημένη ζήτηση για υποστήριξη μαθητών στην κρίσιμη βαθμίδα της δευτεροβάθμιας εκπαίδευσης, όπου λαμβάνει χώρα η προετοιμασία για τις πανελλαδικές εξετάσεις.  </w:t>
      </w:r>
      <w:r w:rsidRPr="001E1577">
        <w:t>Παρότι η συγκεκριμένη δαπάνη παρουσίαζε πτωτική τάση</w:t>
      </w:r>
      <w:r>
        <w:t xml:space="preserve"> έως το 2020</w:t>
      </w:r>
      <w:r w:rsidRPr="00842D64">
        <w:rPr>
          <w:b/>
        </w:rPr>
        <w:t>, την τελευταία διετία (2021-2023) αυξήθηκε κι αυτή σημαντικά (+35,5%).</w:t>
      </w:r>
    </w:p>
    <w:p w14:paraId="2AB65F4C" w14:textId="55DFE7E2" w:rsidR="00B7643D" w:rsidRPr="00842D64" w:rsidRDefault="00B7643D" w:rsidP="00B7643D">
      <w:pPr>
        <w:pStyle w:val="a6"/>
        <w:numPr>
          <w:ilvl w:val="0"/>
          <w:numId w:val="1"/>
        </w:numPr>
        <w:jc w:val="both"/>
        <w:rPr>
          <w:b/>
        </w:rPr>
      </w:pPr>
      <w:r>
        <w:lastRenderedPageBreak/>
        <w:t xml:space="preserve">Οι δαπάνες για </w:t>
      </w:r>
      <w:r w:rsidRPr="00F25C4E">
        <w:rPr>
          <w:b/>
          <w:bCs/>
        </w:rPr>
        <w:t>φροντιστήρια τριτοβάθμιας εκπαίδευσης</w:t>
      </w:r>
      <w:r>
        <w:rPr>
          <w:b/>
          <w:bCs/>
        </w:rPr>
        <w:t xml:space="preserve"> </w:t>
      </w:r>
      <w:r w:rsidRPr="001E1577">
        <w:rPr>
          <w:b/>
          <w:bCs/>
        </w:rPr>
        <w:t xml:space="preserve">ανέρχονται σε </w:t>
      </w:r>
      <w:r w:rsidRPr="00F25C4E">
        <w:rPr>
          <w:b/>
          <w:bCs/>
        </w:rPr>
        <w:t xml:space="preserve">7,2 </w:t>
      </w:r>
      <w:proofErr w:type="spellStart"/>
      <w:r w:rsidRPr="00F25C4E">
        <w:rPr>
          <w:b/>
          <w:bCs/>
        </w:rPr>
        <w:t>εκατ.€</w:t>
      </w:r>
      <w:proofErr w:type="spellEnd"/>
      <w:r>
        <w:t xml:space="preserve">, αντιπροσωπεύοντας μόλις το </w:t>
      </w:r>
      <w:r w:rsidRPr="00F25C4E">
        <w:rPr>
          <w:b/>
          <w:bCs/>
        </w:rPr>
        <w:t>1,2%</w:t>
      </w:r>
      <w:r>
        <w:t xml:space="preserve"> των συνολικών δαπανών για φροντιστήρια. Παρά τις μικρές διακυμάνσεις, </w:t>
      </w:r>
      <w:r w:rsidRPr="00842D64">
        <w:rPr>
          <w:b/>
        </w:rPr>
        <w:t>παραμένουν σε σχετικά σταθερά περίπου επίπεδα καθ’ όλη τη δεκαετία.</w:t>
      </w:r>
    </w:p>
    <w:p w14:paraId="3172B7C2" w14:textId="460B0034" w:rsidR="00B7643D" w:rsidRPr="001E1577" w:rsidRDefault="00B7643D" w:rsidP="00B7643D">
      <w:pPr>
        <w:ind w:left="360"/>
        <w:jc w:val="both"/>
        <w:rPr>
          <w:b/>
          <w:bCs/>
        </w:rPr>
      </w:pPr>
      <w:r w:rsidRPr="001E1577">
        <w:rPr>
          <w:b/>
          <w:bCs/>
        </w:rPr>
        <w:t xml:space="preserve">Δημογραφικοί και </w:t>
      </w:r>
      <w:proofErr w:type="spellStart"/>
      <w:r w:rsidRPr="001E1577">
        <w:rPr>
          <w:b/>
          <w:bCs/>
        </w:rPr>
        <w:t>κοινωνικο</w:t>
      </w:r>
      <w:proofErr w:type="spellEnd"/>
      <w:r w:rsidRPr="001E1577">
        <w:rPr>
          <w:b/>
          <w:bCs/>
        </w:rPr>
        <w:t>-οικονομικοί παράγοντες διαφοροποίησης των δαπανών:</w:t>
      </w:r>
    </w:p>
    <w:p w14:paraId="19005C74" w14:textId="04794044" w:rsidR="00B7643D" w:rsidRPr="00842D64" w:rsidRDefault="00B7643D" w:rsidP="00B7643D">
      <w:pPr>
        <w:pStyle w:val="a6"/>
        <w:numPr>
          <w:ilvl w:val="0"/>
          <w:numId w:val="1"/>
        </w:numPr>
        <w:jc w:val="both"/>
        <w:rPr>
          <w:b/>
        </w:rPr>
      </w:pPr>
      <w:r w:rsidRPr="00842D64">
        <w:rPr>
          <w:b/>
          <w:u w:val="single"/>
        </w:rPr>
        <w:t xml:space="preserve">Η επίδραση της </w:t>
      </w:r>
      <w:proofErr w:type="spellStart"/>
      <w:r w:rsidRPr="00842D64">
        <w:rPr>
          <w:b/>
          <w:bCs/>
          <w:u w:val="single"/>
        </w:rPr>
        <w:t>αστικότητας</w:t>
      </w:r>
      <w:proofErr w:type="spellEnd"/>
      <w:r w:rsidRPr="00842D64">
        <w:rPr>
          <w:b/>
          <w:u w:val="single"/>
        </w:rPr>
        <w:t xml:space="preserve"> είναι έντονη</w:t>
      </w:r>
      <w:r>
        <w:t xml:space="preserve">. Τα νοικοκυριά </w:t>
      </w:r>
      <w:r w:rsidRPr="00842D64">
        <w:rPr>
          <w:b/>
        </w:rPr>
        <w:t>στις αστικές περιοχές δαπανούν περισσότερα χρήματα για φροντιστήρια</w:t>
      </w:r>
      <w:r>
        <w:t xml:space="preserve"> σε σύγκριση με </w:t>
      </w:r>
      <w:r w:rsidRPr="00842D64">
        <w:rPr>
          <w:b/>
        </w:rPr>
        <w:t>τα νοικοκυριά σε αγροτικές περιοχές</w:t>
      </w:r>
      <w:r>
        <w:t xml:space="preserve">, ενώ η διαφορά μεταξύ τους έχει διευρυνθεί μέσα στην τελευταία δεκαετία. Οι </w:t>
      </w:r>
      <w:r w:rsidRPr="00D32AC6">
        <w:rPr>
          <w:b/>
          <w:bCs/>
        </w:rPr>
        <w:t>περιφερειακές ανισότητες</w:t>
      </w:r>
      <w:r>
        <w:t xml:space="preserve"> είναι </w:t>
      </w:r>
      <w:r w:rsidRPr="00842D64">
        <w:rPr>
          <w:b/>
        </w:rPr>
        <w:t xml:space="preserve">επίσης σημαντικές και </w:t>
      </w:r>
      <w:r w:rsidR="00486F4A" w:rsidRPr="00842D64">
        <w:rPr>
          <w:b/>
        </w:rPr>
        <w:t>έχουν διευρυνθεί σημαντικά μέσα στην δεκαετία</w:t>
      </w:r>
      <w:r w:rsidRPr="00842D64">
        <w:rPr>
          <w:b/>
        </w:rPr>
        <w:t>.</w:t>
      </w:r>
    </w:p>
    <w:p w14:paraId="21B6AA2E" w14:textId="77777777" w:rsidR="00842D64" w:rsidRDefault="00842D64" w:rsidP="00842D64">
      <w:pPr>
        <w:pStyle w:val="a6"/>
        <w:jc w:val="both"/>
      </w:pPr>
    </w:p>
    <w:p w14:paraId="351409C3" w14:textId="77777777" w:rsidR="00842D64" w:rsidRDefault="00B7643D" w:rsidP="00B7643D">
      <w:pPr>
        <w:pStyle w:val="a6"/>
        <w:numPr>
          <w:ilvl w:val="0"/>
          <w:numId w:val="1"/>
        </w:numPr>
        <w:jc w:val="both"/>
      </w:pPr>
      <w:r w:rsidRPr="00842D64">
        <w:rPr>
          <w:b/>
          <w:u w:val="single"/>
        </w:rPr>
        <w:t xml:space="preserve">Το </w:t>
      </w:r>
      <w:r w:rsidRPr="00842D64">
        <w:rPr>
          <w:b/>
          <w:bCs/>
          <w:u w:val="single"/>
        </w:rPr>
        <w:t>εισόδημα</w:t>
      </w:r>
      <w:r w:rsidRPr="00842D64">
        <w:rPr>
          <w:b/>
          <w:u w:val="single"/>
        </w:rPr>
        <w:t xml:space="preserve"> του νοικοκυριού αναδεικνύεται σε καθοριστικό παράγοντα διαφοροποίησης.</w:t>
      </w:r>
      <w:r w:rsidRPr="00842D64">
        <w:rPr>
          <w:b/>
        </w:rPr>
        <w:t xml:space="preserve"> </w:t>
      </w:r>
      <w:r>
        <w:t xml:space="preserve">Τα νοικοκυριά </w:t>
      </w:r>
      <w:r w:rsidRPr="00842D64">
        <w:rPr>
          <w:b/>
        </w:rPr>
        <w:t xml:space="preserve">με υψηλότερα εισοδήματα </w:t>
      </w:r>
      <w:r w:rsidR="00486F4A" w:rsidRPr="00842D64">
        <w:rPr>
          <w:b/>
        </w:rPr>
        <w:t>δαπανούν σημαντικά μεγαλύτερο μέρος της καταναλωτικής τους δαπάνης για φροντιστήρια</w:t>
      </w:r>
      <w:r>
        <w:t xml:space="preserve">, </w:t>
      </w:r>
      <w:r w:rsidRPr="001E1577">
        <w:t>ενώ η πρόσβαση στις υπηρεσίες αυτές γίνεται δυσκολότερη για νοικοκυριά χαμηλότερου εισοδήματος</w:t>
      </w:r>
      <w:r>
        <w:t xml:space="preserve">. </w:t>
      </w:r>
    </w:p>
    <w:p w14:paraId="3DE792DA" w14:textId="36E6910B" w:rsidR="00B7643D" w:rsidRDefault="00B7643D" w:rsidP="00842D64">
      <w:pPr>
        <w:pStyle w:val="a6"/>
        <w:jc w:val="both"/>
      </w:pPr>
      <w:r w:rsidRPr="00842D64">
        <w:rPr>
          <w:b/>
        </w:rPr>
        <w:t>Χαρακτηριστικό του εύρους της ανισότητας είναι πως η δαπάνη</w:t>
      </w:r>
      <w:r w:rsidR="00486F4A" w:rsidRPr="00842D64">
        <w:rPr>
          <w:b/>
        </w:rPr>
        <w:t xml:space="preserve"> για φροντιστήρια (ως ποσοστό της καταναλωτικής τους δαπάνης)</w:t>
      </w:r>
      <w:r w:rsidRPr="00842D64">
        <w:rPr>
          <w:b/>
        </w:rPr>
        <w:t xml:space="preserve"> των τριών υψηλότερων εισοδηματικών κατηγοριών είναι </w:t>
      </w:r>
      <w:r w:rsidR="00486F4A" w:rsidRPr="00842D64">
        <w:rPr>
          <w:b/>
        </w:rPr>
        <w:t>3,5 φορές</w:t>
      </w:r>
      <w:r w:rsidRPr="00842D64">
        <w:rPr>
          <w:b/>
        </w:rPr>
        <w:t xml:space="preserve"> </w:t>
      </w:r>
      <w:r w:rsidR="00486F4A" w:rsidRPr="00842D64">
        <w:rPr>
          <w:b/>
        </w:rPr>
        <w:t xml:space="preserve">υψηλότερη </w:t>
      </w:r>
      <w:r w:rsidRPr="00842D64">
        <w:rPr>
          <w:b/>
        </w:rPr>
        <w:t>της δαπάνης των τριών χαμηλότερων κατηγοριών</w:t>
      </w:r>
      <w:r w:rsidR="00486F4A" w:rsidRPr="00842D64">
        <w:rPr>
          <w:b/>
        </w:rPr>
        <w:t>, ενώ η «ψαλίδα» μεταξύ τους έχει διευρυνθεί μέσα στην τελευταία δεκαετία</w:t>
      </w:r>
      <w:r w:rsidR="00486F4A">
        <w:t>.</w:t>
      </w:r>
    </w:p>
    <w:p w14:paraId="465723C5" w14:textId="77777777" w:rsidR="00842D64" w:rsidRDefault="00842D64" w:rsidP="00842D64">
      <w:pPr>
        <w:pStyle w:val="a6"/>
        <w:jc w:val="both"/>
      </w:pPr>
    </w:p>
    <w:p w14:paraId="77F97E52" w14:textId="7DBE5143" w:rsidR="00B7643D" w:rsidRDefault="00B7643D" w:rsidP="00B7643D">
      <w:pPr>
        <w:pStyle w:val="a6"/>
        <w:numPr>
          <w:ilvl w:val="0"/>
          <w:numId w:val="1"/>
        </w:numPr>
        <w:jc w:val="both"/>
      </w:pPr>
      <w:r w:rsidRPr="00842D64">
        <w:rPr>
          <w:b/>
          <w:u w:val="single"/>
        </w:rPr>
        <w:t>Η</w:t>
      </w:r>
      <w:r w:rsidRPr="00842D64">
        <w:rPr>
          <w:b/>
          <w:bCs/>
          <w:u w:val="single"/>
        </w:rPr>
        <w:t xml:space="preserve"> θέση στο επάγγελμα</w:t>
      </w:r>
      <w:r w:rsidRPr="00842D64">
        <w:rPr>
          <w:b/>
          <w:u w:val="single"/>
        </w:rPr>
        <w:t xml:space="preserve"> του υπευθύνου του νοικοκυριού</w:t>
      </w:r>
      <w:r>
        <w:t xml:space="preserve"> </w:t>
      </w:r>
      <w:r w:rsidRPr="001E1577">
        <w:t>επηρεάζει τις δαπάνες</w:t>
      </w:r>
      <w:r>
        <w:t>.</w:t>
      </w:r>
      <w:r w:rsidR="00486F4A">
        <w:t xml:space="preserve"> Κ</w:t>
      </w:r>
      <w:r>
        <w:t xml:space="preserve">οιτάζοντας το μερίδιο που καταλαμβάνουν οι δαπάνες αυτές στο σύνολο του οικογενειακού τους προϋπολογισμού, φαίνεται να επιβαρύνονται περισσότερο </w:t>
      </w:r>
      <w:r w:rsidRPr="00842D64">
        <w:rPr>
          <w:b/>
        </w:rPr>
        <w:t>οι βοηθοί στην οικογενειακή επιχείρηση (1,3%) και οι μισθωτοί (1,1%) και σημαντικά λιγότερο οι αυτοαπασχολούμενοι με μισθωτούς (0,9%)</w:t>
      </w:r>
      <w:r w:rsidR="00486F4A" w:rsidRPr="00842D64">
        <w:rPr>
          <w:b/>
        </w:rPr>
        <w:t xml:space="preserve"> ή χωρίς μισθωτούς (0,8%)</w:t>
      </w:r>
      <w:r w:rsidRPr="00842D64">
        <w:rPr>
          <w:b/>
        </w:rPr>
        <w:t>.</w:t>
      </w:r>
      <w:r>
        <w:t xml:space="preserve"> Πιο αναλυτικά ως προς το </w:t>
      </w:r>
      <w:r w:rsidRPr="00D32AC6">
        <w:rPr>
          <w:b/>
          <w:bCs/>
        </w:rPr>
        <w:t>επάγγελμα</w:t>
      </w:r>
      <w:r>
        <w:t xml:space="preserve"> του υπεύθυνου του νοικοκυριού, </w:t>
      </w:r>
      <w:r w:rsidRPr="00842D64">
        <w:rPr>
          <w:b/>
        </w:rPr>
        <w:t>το 2023 οι έμποροι/πωλητές αλλά και οι υπάλληλοι γραφείου καταγράφουν τις υψηλότερες δαπάνες ξεπερνώντας ακόμη και τις πλέον ευκατάστατες επαγγελματικές ομάδες</w:t>
      </w:r>
      <w:r>
        <w:t xml:space="preserve"> (Διευθύνοντα ή ανώτερα διοικητικά στελέχη ή Επιστήμονες κλπ). Αυτό ε</w:t>
      </w:r>
      <w:r w:rsidRPr="004E3418">
        <w:t xml:space="preserve">νδέχεται να </w:t>
      </w:r>
      <w:r w:rsidRPr="00842D64">
        <w:rPr>
          <w:b/>
        </w:rPr>
        <w:t>οφείλεται στη στροφή των υψηλότερων επαγγελματικών κατηγοριών προς ιδιαίτερα μαθήματα αντί για οργανωμένες φροντιστηριακές δομές</w:t>
      </w:r>
      <w:r>
        <w:t xml:space="preserve">. Στον αντίποδα βρίσκονται κατηγορίες με χαμηλότερα εισοδήματα, </w:t>
      </w:r>
      <w:r w:rsidRPr="00842D64">
        <w:rPr>
          <w:b/>
        </w:rPr>
        <w:t>όπως οι γεωργοί, οι κτηνοτρόφοι και οι εργάτες</w:t>
      </w:r>
      <w:r w:rsidR="00486F4A" w:rsidRPr="00842D64">
        <w:rPr>
          <w:b/>
        </w:rPr>
        <w:t xml:space="preserve"> στην γεωργία</w:t>
      </w:r>
      <w:r w:rsidRPr="00842D64">
        <w:rPr>
          <w:b/>
        </w:rPr>
        <w:t>, οι οποίοι δαπανούν και χαμηλότερα ποσά για φροντιστήρια</w:t>
      </w:r>
      <w:r>
        <w:t>.</w:t>
      </w:r>
    </w:p>
    <w:p w14:paraId="09406FC1" w14:textId="77777777" w:rsidR="00842D64" w:rsidRDefault="00842D64" w:rsidP="00842D64">
      <w:pPr>
        <w:pStyle w:val="a6"/>
        <w:jc w:val="both"/>
      </w:pPr>
    </w:p>
    <w:p w14:paraId="39701AC8" w14:textId="598C460D" w:rsidR="00B7643D" w:rsidRDefault="00B7643D" w:rsidP="00B7643D">
      <w:pPr>
        <w:pStyle w:val="a6"/>
        <w:numPr>
          <w:ilvl w:val="0"/>
          <w:numId w:val="1"/>
        </w:numPr>
        <w:jc w:val="both"/>
      </w:pPr>
      <w:r w:rsidRPr="00842D64">
        <w:rPr>
          <w:b/>
          <w:u w:val="single"/>
        </w:rPr>
        <w:t xml:space="preserve">Οι δαπάνες για φροντιστήρια τείνουν να αυξάνονται όσο μεγαλώνει το νοικοκυριό, ενώ η </w:t>
      </w:r>
      <w:r w:rsidRPr="00842D64">
        <w:rPr>
          <w:b/>
          <w:bCs/>
          <w:u w:val="single"/>
        </w:rPr>
        <w:t>οικογενειακή σύνθεση</w:t>
      </w:r>
      <w:r w:rsidRPr="00842D64">
        <w:rPr>
          <w:b/>
          <w:u w:val="single"/>
        </w:rPr>
        <w:t xml:space="preserve"> παίζει καθοριστικό ρόλο</w:t>
      </w:r>
      <w:r>
        <w:t xml:space="preserve">. </w:t>
      </w:r>
      <w:r w:rsidRPr="004E3418">
        <w:t xml:space="preserve">Γενικά, </w:t>
      </w:r>
      <w:r w:rsidRPr="00842D64">
        <w:rPr>
          <w:b/>
        </w:rPr>
        <w:t>τα νοικοκυριά με 2 παιδιά και άνω έως και 16 ετών καταγράφουν τις υψηλότερες δαπάνες για φροντιστήρια</w:t>
      </w:r>
      <w:r w:rsidRPr="004E3418">
        <w:t xml:space="preserve">. </w:t>
      </w:r>
      <w:r w:rsidRPr="008E4FA7">
        <w:t xml:space="preserve">Παρατηρείται ότι τα ζευγάρια με δύο παιδιά (έως 16 ετών) δαπανούν σημαντικά περισσότερα για φροντιστήρια από τις </w:t>
      </w:r>
      <w:proofErr w:type="spellStart"/>
      <w:r w:rsidRPr="008E4FA7">
        <w:t>τρίτεκνες</w:t>
      </w:r>
      <w:proofErr w:type="spellEnd"/>
      <w:r w:rsidRPr="008E4FA7">
        <w:t xml:space="preserve"> και πολύτεκνες οικογένειες, παρότι το αναμενόμενο θα ήταν η δαπάνη να αυξάνεται με το πλήθος των παιδιών. Αυτό ενδέχεται να οφείλεται στο ότι οι </w:t>
      </w:r>
      <w:proofErr w:type="spellStart"/>
      <w:r w:rsidRPr="008E4FA7">
        <w:t>τρίτεκνες</w:t>
      </w:r>
      <w:proofErr w:type="spellEnd"/>
      <w:r w:rsidRPr="008E4FA7">
        <w:t xml:space="preserve"> και πολύτεκνες οικογένειες επιβαρύνονται με περισσότερα ανελαστικά έξοδα, γεγονός που περιορίζει τις δυνατότητές τους να επενδύσουν σε φροντιστήρια στον ίδιο βαθμό με τις μικρότερες οικογένειες.</w:t>
      </w:r>
      <w:r>
        <w:t xml:space="preserve"> </w:t>
      </w:r>
      <w:r w:rsidRPr="00842D64">
        <w:rPr>
          <w:b/>
        </w:rPr>
        <w:t xml:space="preserve">Οι </w:t>
      </w:r>
      <w:proofErr w:type="spellStart"/>
      <w:r w:rsidRPr="00842D64">
        <w:rPr>
          <w:b/>
        </w:rPr>
        <w:t>μονογονεϊκές</w:t>
      </w:r>
      <w:proofErr w:type="spellEnd"/>
      <w:r w:rsidRPr="00842D64">
        <w:rPr>
          <w:b/>
        </w:rPr>
        <w:t xml:space="preserve"> οικογένειες με παιδιά έως 16 ετών επιβαρύνονται ιδιαίτερα ως ποσοστό του συνολικού τους προϋπολογισμού με 1,1%, όταν το αντίστοιχο των </w:t>
      </w:r>
      <w:r w:rsidRPr="00842D64">
        <w:rPr>
          <w:b/>
        </w:rPr>
        <w:lastRenderedPageBreak/>
        <w:t>οικογενειών με ζευγάρι και παιδιά έως 16 ετών κυμαίνεται από 0,6% (με 1 παιδί) έως 1,2% (με 2 παιδιά).</w:t>
      </w:r>
      <w:r w:rsidR="00E96534">
        <w:t xml:space="preserve"> </w:t>
      </w:r>
    </w:p>
    <w:p w14:paraId="1CC04266" w14:textId="77777777" w:rsidR="00B7643D" w:rsidRDefault="00B7643D" w:rsidP="00B7643D">
      <w:pPr>
        <w:pStyle w:val="a6"/>
        <w:numPr>
          <w:ilvl w:val="0"/>
          <w:numId w:val="1"/>
        </w:numPr>
        <w:jc w:val="both"/>
      </w:pPr>
      <w:r>
        <w:t xml:space="preserve">Τέλος, </w:t>
      </w:r>
      <w:r w:rsidRPr="00842D64">
        <w:rPr>
          <w:b/>
          <w:u w:val="single"/>
        </w:rPr>
        <w:t xml:space="preserve">οι δαπάνες είναι υψηλότερες στα νοικοκυριά με υπεύθυνους στις </w:t>
      </w:r>
      <w:r w:rsidRPr="00842D64">
        <w:rPr>
          <w:b/>
          <w:bCs/>
          <w:u w:val="single"/>
        </w:rPr>
        <w:t>ηλικιακές ομάδες</w:t>
      </w:r>
      <w:r w:rsidRPr="00842D64">
        <w:rPr>
          <w:b/>
          <w:u w:val="single"/>
        </w:rPr>
        <w:t xml:space="preserve"> 35-64 ετών, και ιδίως 45-54 ετών</w:t>
      </w:r>
      <w:r>
        <w:t>, γεγονός που είναι αναμενόμενο, καθώς αυτές οι ηλικιακές ομάδες είναι πιθανότερο να έχουν παιδιά σε σχολική ηλικία που χρειάζονται μεγαλύτερη εκπαιδευτική υποστήριξη.</w:t>
      </w:r>
      <w:bookmarkEnd w:id="0"/>
    </w:p>
    <w:p w14:paraId="33D8707D" w14:textId="77777777" w:rsidR="009D1A4D" w:rsidRDefault="009D1A4D"/>
    <w:p w14:paraId="08A93B48" w14:textId="70AF89D1" w:rsidR="002133E8" w:rsidRDefault="002133E8" w:rsidP="002133E8">
      <w:pPr>
        <w:pStyle w:val="2"/>
      </w:pPr>
      <w:r>
        <w:t xml:space="preserve">Β. Στάσεις &amp; απόψεις γονέων και νέων για </w:t>
      </w:r>
      <w:r w:rsidR="00B92490">
        <w:t>φροντιστήρια γενικής παιδείας</w:t>
      </w:r>
    </w:p>
    <w:p w14:paraId="3E14D65B" w14:textId="438500C4" w:rsidR="008610FB" w:rsidRPr="00842D64" w:rsidRDefault="008610FB" w:rsidP="008610FB">
      <w:pPr>
        <w:jc w:val="both"/>
        <w:rPr>
          <w:b/>
        </w:rPr>
      </w:pPr>
      <w:r>
        <w:t xml:space="preserve">Στη συνέχεια παρουσιάζονται τα πρώτα πορίσματα από την </w:t>
      </w:r>
      <w:r w:rsidRPr="008610FB">
        <w:t xml:space="preserve">πρωτογενή έρευνα που διενεργήθηκε από την εταιρεία δημοσκοπήσεων </w:t>
      </w:r>
      <w:proofErr w:type="spellStart"/>
      <w:r w:rsidRPr="008610FB">
        <w:t>Metron</w:t>
      </w:r>
      <w:proofErr w:type="spellEnd"/>
      <w:r w:rsidRPr="008610FB">
        <w:t xml:space="preserve"> </w:t>
      </w:r>
      <w:proofErr w:type="spellStart"/>
      <w:r w:rsidRPr="008610FB">
        <w:t>Analysis</w:t>
      </w:r>
      <w:proofErr w:type="spellEnd"/>
      <w:r w:rsidRPr="008610FB">
        <w:t xml:space="preserve"> για το ΚΑΝΕΠ/ΓΣΕΕ </w:t>
      </w:r>
      <w:r w:rsidRPr="00842D64">
        <w:rPr>
          <w:b/>
        </w:rPr>
        <w:t>την περίοδο Ιούλιος-Σεπτέμβριος 2023</w:t>
      </w:r>
      <w:r>
        <w:t xml:space="preserve">. Η εστίαση γίνεται στις </w:t>
      </w:r>
      <w:r w:rsidRPr="00842D64">
        <w:rPr>
          <w:b/>
        </w:rPr>
        <w:t>στάσεις και τις απόψεις τόσο των νέων που έχουν φοιτήσει σε φροντιστήρια γενικής παιδείας, όσο και των γονέων με παιδιά που φοιτούν ή έχουν φοιτήσει σε φροντιστήρια.</w:t>
      </w:r>
    </w:p>
    <w:p w14:paraId="3A7B22D7" w14:textId="047A5DDA" w:rsidR="00B92490" w:rsidRDefault="00B92490" w:rsidP="00B92490">
      <w:pPr>
        <w:pStyle w:val="a6"/>
        <w:numPr>
          <w:ilvl w:val="0"/>
          <w:numId w:val="1"/>
        </w:numPr>
        <w:jc w:val="both"/>
      </w:pPr>
      <w:r>
        <w:t xml:space="preserve">Οι απόψεις το γονέων και των νέων για τον </w:t>
      </w:r>
      <w:r w:rsidRPr="00B92490">
        <w:rPr>
          <w:b/>
          <w:bCs/>
        </w:rPr>
        <w:t>κύριο ρόλο</w:t>
      </w:r>
      <w:r>
        <w:t xml:space="preserve"> των φροντιστηρίων σχεδόν ταυτίζονται, με έναν στους τρεις να θεωρεί πως ο κύριος ρόλος των φροντιστηρίων γενικής παιδείας στη χώρα μας είναι </w:t>
      </w:r>
      <w:r w:rsidRPr="00162DB4">
        <w:rPr>
          <w:b/>
        </w:rPr>
        <w:t xml:space="preserve">να καλύπτουν την αδυναμία του σχολείου να βοηθήσει τα παιδιά για τις πανελλήνιες εξετάσεις ή να διδάξει </w:t>
      </w:r>
      <w:r w:rsidR="00162DB4">
        <w:rPr>
          <w:b/>
        </w:rPr>
        <w:t>με επάρκεια</w:t>
      </w:r>
      <w:r w:rsidRPr="00162DB4">
        <w:rPr>
          <w:b/>
        </w:rPr>
        <w:t xml:space="preserve"> τα μαθήματα γενικής παιδείας.</w:t>
      </w:r>
    </w:p>
    <w:p w14:paraId="5AF23F30" w14:textId="3432ABC4" w:rsidR="00B92490" w:rsidRPr="00162DB4" w:rsidRDefault="00B92490" w:rsidP="00B92490">
      <w:pPr>
        <w:pStyle w:val="a6"/>
        <w:numPr>
          <w:ilvl w:val="0"/>
          <w:numId w:val="1"/>
        </w:numPr>
        <w:jc w:val="both"/>
        <w:rPr>
          <w:b/>
        </w:rPr>
      </w:pPr>
      <w:r w:rsidRPr="00B92490">
        <w:t xml:space="preserve">Ως προς τη </w:t>
      </w:r>
      <w:r w:rsidRPr="00F93D19">
        <w:rPr>
          <w:b/>
          <w:bCs/>
        </w:rPr>
        <w:t>σχέση του φροντιστηρίου με το σχολείο</w:t>
      </w:r>
      <w:r w:rsidRPr="00B92490">
        <w:t xml:space="preserve">, </w:t>
      </w:r>
      <w:r>
        <w:t>τόσο οι γονείς (39%) όσο και οι νέοι</w:t>
      </w:r>
      <w:r w:rsidRPr="00B92490">
        <w:t xml:space="preserve"> </w:t>
      </w:r>
      <w:r>
        <w:t xml:space="preserve">(37%) </w:t>
      </w:r>
      <w:r w:rsidRPr="00B92490">
        <w:t xml:space="preserve">αντιλαμβάνονται τα </w:t>
      </w:r>
      <w:r>
        <w:t xml:space="preserve">φροντιστήρια </w:t>
      </w:r>
      <w:r w:rsidRPr="00B92490">
        <w:t xml:space="preserve">κυρίως </w:t>
      </w:r>
      <w:r w:rsidRPr="00162DB4">
        <w:rPr>
          <w:b/>
        </w:rPr>
        <w:t>ως εκπαίδευση συμπληρωματική προς το σχολείο</w:t>
      </w:r>
      <w:r w:rsidR="00F93D19">
        <w:t xml:space="preserve">, </w:t>
      </w:r>
      <w:r w:rsidR="00F93D19" w:rsidRPr="00B92490">
        <w:t>ενώ θεωρούν ότι ο ρόλος τους ενισχύεται ειδικά ως προς την είσοδο στο πανεπιστήμιο</w:t>
      </w:r>
      <w:r w:rsidR="00F93D19">
        <w:t xml:space="preserve"> (21% των γονέων και 31% των νέων). </w:t>
      </w:r>
      <w:r w:rsidR="00F93D19" w:rsidRPr="00162DB4">
        <w:rPr>
          <w:b/>
        </w:rPr>
        <w:t xml:space="preserve">Ωστόσο, εμφανίζεται κι ένα σημαντικό ποσοστό που θεωρεί πως το φροντιστήριο υποκαθιστά το σχολείο </w:t>
      </w:r>
      <w:r w:rsidRPr="00162DB4">
        <w:rPr>
          <w:b/>
        </w:rPr>
        <w:t>(</w:t>
      </w:r>
      <w:r w:rsidR="00F93D19" w:rsidRPr="00162DB4">
        <w:rPr>
          <w:b/>
        </w:rPr>
        <w:t>1 στους 5</w:t>
      </w:r>
      <w:r w:rsidRPr="00162DB4">
        <w:rPr>
          <w:b/>
        </w:rPr>
        <w:t xml:space="preserve"> </w:t>
      </w:r>
      <w:r w:rsidR="00F93D19" w:rsidRPr="00162DB4">
        <w:rPr>
          <w:b/>
        </w:rPr>
        <w:t xml:space="preserve">γονείς </w:t>
      </w:r>
      <w:r w:rsidRPr="00162DB4">
        <w:rPr>
          <w:b/>
        </w:rPr>
        <w:t xml:space="preserve">και </w:t>
      </w:r>
      <w:r w:rsidR="00F93D19" w:rsidRPr="00162DB4">
        <w:rPr>
          <w:b/>
        </w:rPr>
        <w:t>1 στους 4 νέους</w:t>
      </w:r>
      <w:r w:rsidRPr="00162DB4">
        <w:rPr>
          <w:b/>
        </w:rPr>
        <w:t>)</w:t>
      </w:r>
    </w:p>
    <w:p w14:paraId="220AA0FC" w14:textId="77777777" w:rsidR="00162DB4" w:rsidRDefault="00076591" w:rsidP="00B92490">
      <w:pPr>
        <w:pStyle w:val="a6"/>
        <w:numPr>
          <w:ilvl w:val="0"/>
          <w:numId w:val="1"/>
        </w:numPr>
        <w:jc w:val="both"/>
      </w:pPr>
      <w:r>
        <w:t>Και οι γονείς (62%) και οι νέοι (55%) θεωρούν την</w:t>
      </w:r>
      <w:r w:rsidRPr="00076591">
        <w:t xml:space="preserve"> κάλυψη των κενών του σχολείου </w:t>
      </w:r>
      <w:r>
        <w:t>ως</w:t>
      </w:r>
      <w:r w:rsidRPr="00076591">
        <w:t xml:space="preserve"> </w:t>
      </w:r>
      <w:r>
        <w:t>τ</w:t>
      </w:r>
      <w:r w:rsidRPr="00076591">
        <w:t>η</w:t>
      </w:r>
      <w:r>
        <w:t>ν</w:t>
      </w:r>
      <w:r w:rsidRPr="00076591">
        <w:t xml:space="preserve"> </w:t>
      </w:r>
      <w:r w:rsidRPr="00076591">
        <w:rPr>
          <w:b/>
          <w:bCs/>
        </w:rPr>
        <w:t>κύρια ανάγκη</w:t>
      </w:r>
      <w:r w:rsidRPr="00076591">
        <w:t xml:space="preserve"> που καλύπτουν τα </w:t>
      </w:r>
      <w:r>
        <w:t xml:space="preserve">φροντιστήρια γενικής παιδείας, ενώ η εισαγωγή στο πανεπιστήμιο εμφανίζεται ως δευτερεύουσα ανάγκη και για τις δύο ομάδες, ωστόσο πιο έντονη για τους γονείς (41%) απ’ ότι για τους νέους (32%). </w:t>
      </w:r>
    </w:p>
    <w:p w14:paraId="314CB6B3" w14:textId="4B803F36" w:rsidR="00B92490" w:rsidRPr="00EB1797" w:rsidRDefault="00076591" w:rsidP="00B92490">
      <w:pPr>
        <w:pStyle w:val="a6"/>
        <w:numPr>
          <w:ilvl w:val="0"/>
          <w:numId w:val="1"/>
        </w:numPr>
        <w:jc w:val="both"/>
        <w:rPr>
          <w:b/>
        </w:rPr>
      </w:pPr>
      <w:r>
        <w:t>Η δεύτερη κύρια ανάγκη που αναδεικνύουν οι νέοι είναι η σωστή εκπαίδευση στα μαθήματα γενικής παιδείας σε ποσοστό 37%</w:t>
      </w:r>
      <w:r w:rsidR="003639CD">
        <w:t xml:space="preserve">, ενώ οι γονείς την κατατάσσουν χαμηλότερα (33%). Επίσης, ένας στους τρεις γονείς ή νέους θεωρεί πως μια κύρια ανάγκη που έρχεται να καλύψει το φροντιστήριο </w:t>
      </w:r>
      <w:r w:rsidR="003639CD" w:rsidRPr="00EB1797">
        <w:rPr>
          <w:b/>
        </w:rPr>
        <w:t>είναι η σωστή οργάνωση του χρόνου και της μελέτης, καθώς και η εξοικείωση με τη διαδικασία των εξετάσεων και τη διαχείριση του άγχους.</w:t>
      </w:r>
    </w:p>
    <w:p w14:paraId="1764FEF4" w14:textId="6CF38F7C" w:rsidR="00FC02DC" w:rsidRDefault="003639CD" w:rsidP="00B92490">
      <w:pPr>
        <w:pStyle w:val="a6"/>
        <w:numPr>
          <w:ilvl w:val="0"/>
          <w:numId w:val="1"/>
        </w:numPr>
        <w:jc w:val="both"/>
      </w:pPr>
      <w:r w:rsidRPr="00FA1DDD">
        <w:rPr>
          <w:b/>
          <w:bCs/>
        </w:rPr>
        <w:t>Κοινή πεποίθηση</w:t>
      </w:r>
      <w:r w:rsidRPr="003639CD">
        <w:t xml:space="preserve"> είναι ότι τα </w:t>
      </w:r>
      <w:r>
        <w:t>φροντιστήρια γενικής παιδείας</w:t>
      </w:r>
      <w:r w:rsidRPr="003639CD">
        <w:t xml:space="preserve"> βοηθούν </w:t>
      </w:r>
      <w:r w:rsidR="002110F8">
        <w:t xml:space="preserve">ουσιαστικά τους μαθητές </w:t>
      </w:r>
      <w:r w:rsidRPr="000927B0">
        <w:rPr>
          <w:b/>
          <w:bCs/>
        </w:rPr>
        <w:t xml:space="preserve">στην </w:t>
      </w:r>
      <w:r w:rsidR="002110F8" w:rsidRPr="000927B0">
        <w:rPr>
          <w:b/>
          <w:bCs/>
        </w:rPr>
        <w:t>είσοδό τους</w:t>
      </w:r>
      <w:r w:rsidRPr="000927B0">
        <w:rPr>
          <w:b/>
          <w:bCs/>
        </w:rPr>
        <w:t xml:space="preserve"> σε πανεπιστήμια</w:t>
      </w:r>
      <w:r w:rsidR="002110F8">
        <w:t xml:space="preserve"> (74% των γονέων και 68% των νέων συμφωνεί σχεδόν έως απόλυτα με την πρόταση) </w:t>
      </w:r>
      <w:r w:rsidRPr="003639CD">
        <w:t xml:space="preserve">και στην </w:t>
      </w:r>
      <w:r w:rsidRPr="000927B0">
        <w:rPr>
          <w:b/>
          <w:bCs/>
        </w:rPr>
        <w:t>ανεργία των εκπαιδευτικών</w:t>
      </w:r>
      <w:r w:rsidR="002110F8">
        <w:t xml:space="preserve">, προσφέροντας δουλειά σε πολλούς νέους αδιόριστους εκπαιδευτικούς (66% των γονέων και 60% των νέων </w:t>
      </w:r>
      <w:r w:rsidRPr="003639CD">
        <w:t xml:space="preserve"> </w:t>
      </w:r>
      <w:r w:rsidR="002110F8">
        <w:t xml:space="preserve">συμφωνεί σχεδόν έως απόλυτα με την πρόταση). </w:t>
      </w:r>
      <w:r w:rsidR="00FC02DC">
        <w:t xml:space="preserve">Επίσης ένας στους δύο γονείς και νέους, θεωρούν ότι τα φροντιστήρια βελτιώνουν συνεχώς τις </w:t>
      </w:r>
      <w:r w:rsidR="00FC02DC" w:rsidRPr="000927B0">
        <w:rPr>
          <w:b/>
          <w:bCs/>
        </w:rPr>
        <w:t>υποδομές, τις μεθόδους διδασκαλίας αλλά και το εκπαιδευτικό προσωπικό τους</w:t>
      </w:r>
      <w:r w:rsidR="00FC02DC">
        <w:t>. Από την άλλη, ένα σημαντικό μέρος των γονέων και των νέων είναι κριτικοί απέναντι στα φροντιστήρια. Συγκεκριμένα, τ</w:t>
      </w:r>
      <w:r w:rsidR="00FC02DC" w:rsidRPr="00FC02DC">
        <w:t xml:space="preserve">ο 50% των γονέων </w:t>
      </w:r>
      <w:r w:rsidR="00FC02DC" w:rsidRPr="00162DB4">
        <w:rPr>
          <w:b/>
        </w:rPr>
        <w:t xml:space="preserve">θεωρούν ότι τα φροντιστήρια </w:t>
      </w:r>
      <w:r w:rsidR="00FC02DC" w:rsidRPr="00162DB4">
        <w:rPr>
          <w:b/>
          <w:bCs/>
        </w:rPr>
        <w:t>επιβαρύνουν οικονομικά</w:t>
      </w:r>
      <w:r w:rsidR="00FC02DC" w:rsidRPr="00162DB4">
        <w:rPr>
          <w:b/>
        </w:rPr>
        <w:t xml:space="preserve"> την οικογένεια και </w:t>
      </w:r>
      <w:r w:rsidR="00FC02DC" w:rsidRPr="00162DB4">
        <w:rPr>
          <w:b/>
          <w:bCs/>
        </w:rPr>
        <w:t>υπερφορτώνουν το παιδί</w:t>
      </w:r>
      <w:r w:rsidR="00FC02DC" w:rsidRPr="00162DB4">
        <w:rPr>
          <w:b/>
        </w:rPr>
        <w:t xml:space="preserve"> (το αντίστοιχο ποσοστό για τους νέους είναι 43%).</w:t>
      </w:r>
      <w:r w:rsidR="00FA1DDD" w:rsidRPr="00162DB4">
        <w:rPr>
          <w:b/>
        </w:rPr>
        <w:t xml:space="preserve"> Σε μεγάλο ποσοστό οι γονείς (49%) και οι νέοι (45%) θεωρούν ότι τα φροντιστήρια </w:t>
      </w:r>
      <w:r w:rsidR="00FA1DDD" w:rsidRPr="00162DB4">
        <w:rPr>
          <w:b/>
          <w:bCs/>
        </w:rPr>
        <w:t>δεν προσφέρουν ολοκληρωμένη γνώση</w:t>
      </w:r>
      <w:r w:rsidR="00FA1DDD" w:rsidRPr="00162DB4">
        <w:rPr>
          <w:b/>
        </w:rPr>
        <w:t xml:space="preserve">, παρά μόνο </w:t>
      </w:r>
      <w:r w:rsidR="00FA1DDD" w:rsidRPr="00162DB4">
        <w:rPr>
          <w:b/>
        </w:rPr>
        <w:lastRenderedPageBreak/>
        <w:t xml:space="preserve">δίνουν έμφαση στις πανελλήνιες εξετάσεις, ενώ παράλληλα </w:t>
      </w:r>
      <w:r w:rsidR="00FA1DDD" w:rsidRPr="00162DB4">
        <w:rPr>
          <w:b/>
          <w:bCs/>
        </w:rPr>
        <w:t>ενισχύουν την αδιαφορία του παιδιού για το σχολείο</w:t>
      </w:r>
      <w:r w:rsidR="00FA1DDD" w:rsidRPr="00162DB4">
        <w:rPr>
          <w:b/>
        </w:rPr>
        <w:t xml:space="preserve"> (40% γονείς και 41% νέοι).</w:t>
      </w:r>
      <w:r w:rsidR="00FA1DDD">
        <w:t xml:space="preserve"> Ως προς το εάν τα φροντιστήρια αποτελούν </w:t>
      </w:r>
      <w:r w:rsidR="00FA1DDD" w:rsidRPr="000927B0">
        <w:rPr>
          <w:b/>
          <w:bCs/>
        </w:rPr>
        <w:t>προσιτή  υπηρεσία για τα χαμηλά και μεσαία στρώματα</w:t>
      </w:r>
      <w:r w:rsidR="00FA1DDD">
        <w:t xml:space="preserve">, οι γονείς εμφανίζονται διχασμένοι </w:t>
      </w:r>
      <w:r w:rsidR="00FA1DDD" w:rsidRPr="00162DB4">
        <w:rPr>
          <w:b/>
        </w:rPr>
        <w:t>με το 29% να διαφωνεί σχεδόν έως απόλυτα</w:t>
      </w:r>
      <w:r w:rsidR="00FA1DDD">
        <w:t xml:space="preserve"> με την συγκεκριμένη πρόταση, </w:t>
      </w:r>
      <w:r w:rsidR="00FA1DDD" w:rsidRPr="00162DB4">
        <w:rPr>
          <w:b/>
        </w:rPr>
        <w:t>και το 36% να συμφωνεί.</w:t>
      </w:r>
    </w:p>
    <w:p w14:paraId="076338F6" w14:textId="1601F4AA" w:rsidR="00490F42" w:rsidRDefault="00490F42" w:rsidP="00B92490">
      <w:pPr>
        <w:pStyle w:val="a6"/>
        <w:numPr>
          <w:ilvl w:val="0"/>
          <w:numId w:val="1"/>
        </w:numPr>
        <w:jc w:val="both"/>
      </w:pPr>
      <w:r>
        <w:t xml:space="preserve">Πιο αναλυτικά από την σύγκριση των φροντιστηρίων με τα </w:t>
      </w:r>
      <w:r w:rsidRPr="00490F42">
        <w:rPr>
          <w:b/>
          <w:bCs/>
        </w:rPr>
        <w:t>ιδιαίτερα μαθήματα</w:t>
      </w:r>
      <w:r>
        <w:t>, τα πρώτα εμφανίζονται να</w:t>
      </w:r>
      <w:r w:rsidRPr="00490F42">
        <w:t xml:space="preserve"> πλεονεκτούν ως προς το </w:t>
      </w:r>
      <w:r w:rsidRPr="00490F42">
        <w:rPr>
          <w:b/>
          <w:bCs/>
        </w:rPr>
        <w:t>κόστος</w:t>
      </w:r>
      <w:r w:rsidRPr="00490F42">
        <w:t xml:space="preserve"> (</w:t>
      </w:r>
      <w:r>
        <w:t>45% των γονέων και 36% των νέων</w:t>
      </w:r>
      <w:r w:rsidRPr="00490F42">
        <w:t>)</w:t>
      </w:r>
      <w:r>
        <w:t xml:space="preserve">, ενώ ένας τους τρεις γονείς και νέους αναγνωρίζει πως τα φροντιστήρια προσφέρουν μια πιο </w:t>
      </w:r>
      <w:r w:rsidRPr="00AB20EA">
        <w:rPr>
          <w:b/>
          <w:bCs/>
        </w:rPr>
        <w:t>αντικειμενική εικόνα των δυνατοτήτων</w:t>
      </w:r>
      <w:r>
        <w:t xml:space="preserve"> κάθε παιδιού. Σημαντικό συγκριτικό πλεονέκτημα είναι και η </w:t>
      </w:r>
      <w:r w:rsidRPr="00490F42">
        <w:rPr>
          <w:b/>
          <w:bCs/>
        </w:rPr>
        <w:t>κοινωνικοποίηση</w:t>
      </w:r>
      <w:r>
        <w:t xml:space="preserve"> για τους νέους (32%)</w:t>
      </w:r>
      <w:r w:rsidR="00AB20EA">
        <w:t xml:space="preserve">. </w:t>
      </w:r>
      <w:r w:rsidR="00AB20EA" w:rsidRPr="00AB20EA">
        <w:t xml:space="preserve">Αντίστροφα, τα ιδιαίτερα κρίνονται κατάλληλα για όσους αναζητούν </w:t>
      </w:r>
      <w:r w:rsidR="00AB20EA" w:rsidRPr="00AB20EA">
        <w:rPr>
          <w:b/>
          <w:bCs/>
        </w:rPr>
        <w:t>προσωποποιημένη</w:t>
      </w:r>
      <w:r w:rsidR="00AB20EA" w:rsidRPr="00AB20EA">
        <w:t xml:space="preserve"> </w:t>
      </w:r>
      <w:r w:rsidR="00AB20EA">
        <w:t xml:space="preserve">(44% των γονέων, 41% των νέων) </w:t>
      </w:r>
      <w:r w:rsidR="00AB20EA" w:rsidRPr="00AB20EA">
        <w:t xml:space="preserve">αλλά και πιο </w:t>
      </w:r>
      <w:r w:rsidR="00AB20EA" w:rsidRPr="00AB20EA">
        <w:rPr>
          <w:b/>
          <w:bCs/>
        </w:rPr>
        <w:t>αποτελεσματική εκπαίδευση</w:t>
      </w:r>
      <w:r w:rsidR="00AB20EA" w:rsidRPr="00AB20EA">
        <w:t xml:space="preserve"> (</w:t>
      </w:r>
      <w:r w:rsidR="00AB20EA">
        <w:t>34% και 38% αντίστοιχα</w:t>
      </w:r>
      <w:r w:rsidR="00AB20EA" w:rsidRPr="00AB20EA">
        <w:t>)</w:t>
      </w:r>
      <w:r w:rsidR="00AB20EA">
        <w:t>.</w:t>
      </w:r>
      <w:r>
        <w:t xml:space="preserve"> </w:t>
      </w:r>
      <w:r w:rsidR="00AB20EA">
        <w:t xml:space="preserve">Οι γονείς, επίσης, θεωρούν σημαντικό πλεονέκτημα την </w:t>
      </w:r>
      <w:r w:rsidR="00AB20EA" w:rsidRPr="00AB20EA">
        <w:rPr>
          <w:b/>
          <w:bCs/>
        </w:rPr>
        <w:t>αποφυγή μετακινήσεων</w:t>
      </w:r>
      <w:r w:rsidR="00AB20EA">
        <w:t xml:space="preserve"> (36%) και νέοι την </w:t>
      </w:r>
      <w:r w:rsidR="00AB20EA" w:rsidRPr="00AB20EA">
        <w:rPr>
          <w:b/>
          <w:bCs/>
        </w:rPr>
        <w:t>ευελιξία του προγράμματος</w:t>
      </w:r>
      <w:r w:rsidR="00AB20EA">
        <w:t xml:space="preserve"> σε σύγκριση με τα φροντιστήρια. Τέλος, ένας στους τρεις περίπου γονείς και νέους θεωρούν ότι τα ιδιαίτερα μαθήματα είναι πιο </w:t>
      </w:r>
      <w:r w:rsidR="00AB20EA" w:rsidRPr="00AB20EA">
        <w:rPr>
          <w:b/>
          <w:bCs/>
        </w:rPr>
        <w:t>κατάλληλα για συγκεκριμένες κατηγορίες μαθητών</w:t>
      </w:r>
      <w:r w:rsidR="00AB20EA">
        <w:t xml:space="preserve"> (</w:t>
      </w:r>
      <w:r w:rsidR="00AB20EA" w:rsidRPr="00AB20EA">
        <w:t>εσωστρεφείς, με μαθησιακές δυσκολίες ή δυνατοί μαθητές</w:t>
      </w:r>
      <w:r w:rsidR="00AB20EA">
        <w:t>).</w:t>
      </w:r>
    </w:p>
    <w:p w14:paraId="02122CB2" w14:textId="34A973D0" w:rsidR="002D0213" w:rsidRPr="00162DB4" w:rsidRDefault="002D0213" w:rsidP="00B92490">
      <w:pPr>
        <w:pStyle w:val="a6"/>
        <w:numPr>
          <w:ilvl w:val="0"/>
          <w:numId w:val="1"/>
        </w:numPr>
        <w:jc w:val="both"/>
        <w:rPr>
          <w:b/>
        </w:rPr>
      </w:pPr>
      <w:r>
        <w:t xml:space="preserve">Εν κατακλείδι, </w:t>
      </w:r>
      <w:r w:rsidRPr="00162DB4">
        <w:rPr>
          <w:b/>
        </w:rPr>
        <w:t xml:space="preserve">7 στους 10, νέοι ή γονείς μαθητών/τριών που έχουν φοιτήσει σε φροντιστήρια γενικής παιδείας, δηλώνουν πως έμειναν αρκετά έως και πάρα πολύ </w:t>
      </w:r>
      <w:r w:rsidRPr="00162DB4">
        <w:rPr>
          <w:b/>
          <w:bCs/>
        </w:rPr>
        <w:t>ικανοποιημένοι</w:t>
      </w:r>
      <w:r w:rsidRPr="00162DB4">
        <w:rPr>
          <w:b/>
        </w:rPr>
        <w:t xml:space="preserve"> από την παρακολούθηση μαθημάτων εκεί.</w:t>
      </w:r>
    </w:p>
    <w:p w14:paraId="5256849E" w14:textId="77777777" w:rsidR="00B92490" w:rsidRPr="00B92490" w:rsidRDefault="00B92490" w:rsidP="00B92490"/>
    <w:p w14:paraId="040EDB73" w14:textId="35272BAF" w:rsidR="00C47B18" w:rsidRDefault="00C47B18" w:rsidP="00800699">
      <w:pPr>
        <w:pStyle w:val="2"/>
      </w:pPr>
      <w:r>
        <w:t xml:space="preserve">Γ. </w:t>
      </w:r>
      <w:r w:rsidR="00FE192D" w:rsidRPr="00FE192D">
        <w:t>Απόψεις εκπαιδευτικών εργαζομένων</w:t>
      </w:r>
      <w:r w:rsidR="00FE192D">
        <w:t xml:space="preserve"> </w:t>
      </w:r>
      <w:r w:rsidR="00FE192D" w:rsidRPr="00FE192D">
        <w:t>στα φροντιστήρια γενικής παιδείας</w:t>
      </w:r>
    </w:p>
    <w:p w14:paraId="3AC3993D" w14:textId="77777777" w:rsidR="008F5165" w:rsidRPr="008F5165" w:rsidRDefault="008F5165" w:rsidP="008F5165"/>
    <w:p w14:paraId="33EB7927" w14:textId="43058863" w:rsidR="00162DB4" w:rsidRPr="00072013" w:rsidRDefault="00551BF0" w:rsidP="00865E77">
      <w:pPr>
        <w:jc w:val="both"/>
        <w:rPr>
          <w:b/>
          <w:color w:val="FF0000"/>
        </w:rPr>
      </w:pPr>
      <w:r>
        <w:t xml:space="preserve">Το </w:t>
      </w:r>
      <w:r w:rsidRPr="008610FB">
        <w:t xml:space="preserve">ΚΑΝΕΠ/ΓΣΕΕ </w:t>
      </w:r>
      <w:r>
        <w:t xml:space="preserve">ανέθεσε επίσης στη </w:t>
      </w:r>
      <w:proofErr w:type="spellStart"/>
      <w:r>
        <w:t>Metron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τη διεξαγωγή </w:t>
      </w:r>
      <w:r w:rsidR="00440669">
        <w:t>ποιοτικών ερευνών</w:t>
      </w:r>
      <w:r>
        <w:t xml:space="preserve"> </w:t>
      </w:r>
      <w:r w:rsidR="00440669">
        <w:t>με συμμετέχοντες εκπαιδευτικούς που εργάζονται σε φροντιστήρια γενικής παιδείας, φορείς εκπροσώπησης αλλά και γονείς.</w:t>
      </w:r>
      <w:r w:rsidR="00162DB4">
        <w:t xml:space="preserve"> Ειδικότερα η ερευνητική προσέγγιση στο πεδίο των εκπαιδευτικών </w:t>
      </w:r>
      <w:r w:rsidR="008F5165">
        <w:t xml:space="preserve">εργαζομένων </w:t>
      </w:r>
      <w:r w:rsidR="00162DB4">
        <w:t xml:space="preserve">βασίστηκε σε ικανό αριθμό </w:t>
      </w:r>
      <w:r w:rsidR="008F5165">
        <w:t>«</w:t>
      </w:r>
      <w:r w:rsidR="00162DB4">
        <w:t>συνεντεύξεων σε βάθος</w:t>
      </w:r>
      <w:r w:rsidR="008F5165">
        <w:t>»</w:t>
      </w:r>
      <w:r w:rsidR="00162DB4">
        <w:t xml:space="preserve"> (</w:t>
      </w:r>
      <w:r w:rsidR="00162DB4">
        <w:rPr>
          <w:lang w:val="en-US"/>
        </w:rPr>
        <w:t>in</w:t>
      </w:r>
      <w:r w:rsidR="00162DB4" w:rsidRPr="00162DB4">
        <w:t xml:space="preserve"> </w:t>
      </w:r>
      <w:r w:rsidR="00162DB4">
        <w:rPr>
          <w:lang w:val="en-US"/>
        </w:rPr>
        <w:t>depth</w:t>
      </w:r>
      <w:r w:rsidR="00162DB4" w:rsidRPr="00162DB4">
        <w:t xml:space="preserve"> </w:t>
      </w:r>
      <w:r w:rsidR="00162DB4">
        <w:rPr>
          <w:lang w:val="en-US"/>
        </w:rPr>
        <w:t>interviews</w:t>
      </w:r>
      <w:r w:rsidR="00162DB4" w:rsidRPr="00800699">
        <w:t xml:space="preserve">) σε μια προσπάθεια να ενισχυθεί </w:t>
      </w:r>
      <w:r w:rsidR="00162DB4" w:rsidRPr="00107779">
        <w:rPr>
          <w:b/>
        </w:rPr>
        <w:t>τόσο η ανεξαρτησία των</w:t>
      </w:r>
      <w:r w:rsidR="00162DB4" w:rsidRPr="00800699">
        <w:t xml:space="preserve"> </w:t>
      </w:r>
      <w:r w:rsidR="00162DB4" w:rsidRPr="00072013">
        <w:rPr>
          <w:b/>
        </w:rPr>
        <w:t>συμμετεχόντων όσο και ελευθερία τους να μιλήσουν ανοικτά και ελεύθερα χωρίς δεσμεύσεις και περιορισμούς από πλευράς εργοδοσίας.</w:t>
      </w:r>
    </w:p>
    <w:p w14:paraId="5E24D51A" w14:textId="4CD48574" w:rsidR="00865E77" w:rsidRPr="008F5165" w:rsidRDefault="00440669" w:rsidP="00865E77">
      <w:pPr>
        <w:jc w:val="both"/>
        <w:rPr>
          <w:b/>
        </w:rPr>
      </w:pPr>
      <w:r>
        <w:t>Η</w:t>
      </w:r>
      <w:r w:rsidR="00551BF0">
        <w:t xml:space="preserve"> διερεύνηση της επαγγελματικής και εκπαιδευτικής πραγματικότητας των εκπαιδευτικών</w:t>
      </w:r>
      <w:r>
        <w:t xml:space="preserve"> </w:t>
      </w:r>
      <w:r w:rsidR="00865E77">
        <w:t xml:space="preserve">αναδεικνύει την </w:t>
      </w:r>
      <w:r w:rsidR="00865E77" w:rsidRPr="008F5165">
        <w:rPr>
          <w:b/>
        </w:rPr>
        <w:t>ανάγκη για άμεσες παρεμβάσεις που θα διασφαλίσουν ένα πιο δίκαιο και βιώσιμο εργασιακό περιβάλλον για τους εκπαιδευτικούς στα φροντιστήρια γενικής παιδείας.</w:t>
      </w:r>
    </w:p>
    <w:p w14:paraId="0594D747" w14:textId="5443FC47" w:rsidR="00551BF0" w:rsidRDefault="00551BF0" w:rsidP="00551BF0">
      <w:pPr>
        <w:jc w:val="both"/>
      </w:pPr>
      <w:r>
        <w:t xml:space="preserve">Τα ευρήματα αναδεικνύουν ένα </w:t>
      </w:r>
      <w:r w:rsidRPr="00551BF0">
        <w:rPr>
          <w:b/>
          <w:bCs/>
        </w:rPr>
        <w:t>προφίλ εκπαιδευτικών</w:t>
      </w:r>
      <w:r>
        <w:t xml:space="preserve"> </w:t>
      </w:r>
      <w:r w:rsidRPr="008F5165">
        <w:rPr>
          <w:b/>
        </w:rPr>
        <w:t xml:space="preserve">νεότερης ηλικίας, με υψηλό επίπεδο ακαδημαϊκών προσόντων </w:t>
      </w:r>
      <w:r>
        <w:t xml:space="preserve">– καθώς πολλοί διαθέτουν μεταπτυχιακή εκπαίδευση – </w:t>
      </w:r>
      <w:r w:rsidRPr="008F5165">
        <w:rPr>
          <w:b/>
        </w:rPr>
        <w:t>και συνεχή αξιολόγηση στο χώρο εργασίας τους</w:t>
      </w:r>
      <w:r w:rsidR="008F5165">
        <w:t xml:space="preserve">. Ωστόσο επισημαίνεται </w:t>
      </w:r>
      <w:r w:rsidR="008F5165" w:rsidRPr="00107779">
        <w:rPr>
          <w:b/>
        </w:rPr>
        <w:t>πως</w:t>
      </w:r>
      <w:r w:rsidRPr="00107779">
        <w:rPr>
          <w:b/>
        </w:rPr>
        <w:t xml:space="preserve"> η πανεπιστημιακή εκπαίδευση δεν διασφαλίζει πάντα την παιδαγωγική και διδακτική επάρκεια,</w:t>
      </w:r>
      <w:r>
        <w:t xml:space="preserve"> ενώ ο χώρος των </w:t>
      </w:r>
      <w:r w:rsidRPr="00107779">
        <w:rPr>
          <w:b/>
        </w:rPr>
        <w:t>επιμορφωτικών σεμιναρίων συχνά λειτουργεί περισσότερο ως «βιομηχανία πιστοποιήσεων» παρά ως ουσιαστική εκπαιδευτική διαδικασία.</w:t>
      </w:r>
    </w:p>
    <w:p w14:paraId="3589144F" w14:textId="77777777" w:rsidR="008F5165" w:rsidRDefault="00551BF0" w:rsidP="00551BF0">
      <w:pPr>
        <w:jc w:val="both"/>
      </w:pPr>
      <w:r>
        <w:t xml:space="preserve">Σε </w:t>
      </w:r>
      <w:r w:rsidRPr="00551BF0">
        <w:rPr>
          <w:b/>
          <w:bCs/>
        </w:rPr>
        <w:t>εργασιακό επίπεδο</w:t>
      </w:r>
      <w:r>
        <w:t xml:space="preserve">, οι εκπαιδευτικοί </w:t>
      </w:r>
      <w:r w:rsidRPr="008F5165">
        <w:rPr>
          <w:b/>
        </w:rPr>
        <w:t>στα φροντιστήρια αντιμετωπίζουν πολλαπλάσιες υποχρεώσεις συγκριτικά με το δημόσιο σχολείο,</w:t>
      </w:r>
      <w:r>
        <w:t xml:space="preserve"> </w:t>
      </w:r>
      <w:r w:rsidRPr="008F5165">
        <w:rPr>
          <w:b/>
        </w:rPr>
        <w:t>έντονη πίεση για υψηλές επιδόσεις των μαθητών</w:t>
      </w:r>
      <w:r>
        <w:t xml:space="preserve">, </w:t>
      </w:r>
      <w:r w:rsidRPr="008F5165">
        <w:rPr>
          <w:b/>
        </w:rPr>
        <w:t>καθώς και χαμηλές απολαβές και εργασιακή επισφάλεια</w:t>
      </w:r>
      <w:r>
        <w:t xml:space="preserve">. Παρά τις προκλήσεις αυτές, η δυνατότητα απόκτησης ενσήμων </w:t>
      </w:r>
      <w:r w:rsidR="008F5165">
        <w:t xml:space="preserve">επισημαίνεται ως </w:t>
      </w:r>
      <w:r>
        <w:t xml:space="preserve">θετικό στοιχείο. </w:t>
      </w:r>
    </w:p>
    <w:p w14:paraId="47D95E58" w14:textId="792903F0" w:rsidR="00551BF0" w:rsidRDefault="00551BF0" w:rsidP="00551BF0">
      <w:pPr>
        <w:jc w:val="both"/>
      </w:pPr>
      <w:r w:rsidRPr="00551BF0">
        <w:lastRenderedPageBreak/>
        <w:t xml:space="preserve">Η φροντιστηριακή εκπαίδευση αντιμετωπίζεται από τους/τις εκπαιδευτικούς </w:t>
      </w:r>
      <w:r w:rsidRPr="008F5165">
        <w:rPr>
          <w:b/>
        </w:rPr>
        <w:t xml:space="preserve">ως μια προσωρινή και αναγκαστική βιοποριστική επιλογή, η οποία όμως τους παρέχει πολύτιμη διδακτική εμπειρία. </w:t>
      </w:r>
      <w:r w:rsidRPr="00551BF0">
        <w:t xml:space="preserve">Παράλληλα, η απορρόφησή τους στη δημόσια εκπαίδευση αποτελεί έναν δύσκολο αλλά επιθυμητό στόχο, καθώς </w:t>
      </w:r>
      <w:r w:rsidRPr="008F5165">
        <w:rPr>
          <w:b/>
        </w:rPr>
        <w:t>το σχολείο του δημοσίου τομέα</w:t>
      </w:r>
      <w:r w:rsidRPr="00551BF0">
        <w:t xml:space="preserve"> </w:t>
      </w:r>
      <w:r w:rsidRPr="008F5165">
        <w:rPr>
          <w:b/>
        </w:rPr>
        <w:t>θεωρείται ότι προσφέρει σταθερότητα, καλύτερες απολαβές, συγκεκριμένο ωράριο και μεγαλύτερη παιδαγωγική ελευθερία</w:t>
      </w:r>
      <w:r w:rsidRPr="00551BF0">
        <w:t>. Για πολλούς, η σύγκριση αυτή δημιουργεί την αίσθηση ενός «αθέμιτου ανταγωνισμού» εις βάρος των φροντιστηριακών εκπαιδευτικών.</w:t>
      </w:r>
    </w:p>
    <w:p w14:paraId="356310CB" w14:textId="77777777" w:rsidR="008F5165" w:rsidRDefault="006C7E0C" w:rsidP="006C7E0C">
      <w:pPr>
        <w:jc w:val="both"/>
      </w:pPr>
      <w:r w:rsidRPr="008F5165">
        <w:rPr>
          <w:b/>
        </w:rPr>
        <w:t xml:space="preserve">Η ποιοτική ανάλυση αποκαλύπτει την απαιτητική </w:t>
      </w:r>
      <w:r w:rsidRPr="008F5165">
        <w:rPr>
          <w:b/>
          <w:bCs/>
        </w:rPr>
        <w:t>εργασιακή πραγματικότητα</w:t>
      </w:r>
      <w:r w:rsidRPr="008F5165">
        <w:rPr>
          <w:b/>
        </w:rPr>
        <w:t xml:space="preserve"> των εκπαιδευτικών που εργάζονται σε φροντιστήρια γενικής παιδείας</w:t>
      </w:r>
      <w:r>
        <w:t xml:space="preserve">. Οι εκπαιδευτικοί καλούνται να ανταπεξέλθουν </w:t>
      </w:r>
      <w:r w:rsidRPr="008F5165">
        <w:rPr>
          <w:b/>
        </w:rPr>
        <w:t>σε συνθήκες χαμηλών αποδοχών και πιεστικών απαιτήσεων</w:t>
      </w:r>
      <w:r>
        <w:t xml:space="preserve">, </w:t>
      </w:r>
      <w:r w:rsidRPr="008F5165">
        <w:rPr>
          <w:b/>
        </w:rPr>
        <w:t>με ωράρια εξαντλητικά που ξεπερνούν μάλιστα τις αμειβόμενες ώρες διδασκαλίας, καθώς η προετοιμασία του μαθήματος παραμένει μη αμειβόμενη εργασία</w:t>
      </w:r>
      <w:r>
        <w:t xml:space="preserve">. </w:t>
      </w:r>
    </w:p>
    <w:p w14:paraId="4B48865A" w14:textId="77777777" w:rsidR="008F5165" w:rsidRDefault="006C7E0C" w:rsidP="006C7E0C">
      <w:pPr>
        <w:jc w:val="both"/>
      </w:pPr>
      <w:r>
        <w:t xml:space="preserve">Παράλληλα, εντοπίζονται </w:t>
      </w:r>
      <w:r w:rsidRPr="008F5165">
        <w:rPr>
          <w:b/>
        </w:rPr>
        <w:t>σοβαρά ζητήματα αδήλωτης και ανασφάλιστης εργασίας, καθώς και παραβιάσεις βασικών εργασιακών δικαιωμάτων, όπως η μη καταβολή δώρων και επιδομάτων</w:t>
      </w:r>
      <w:r>
        <w:t xml:space="preserve">. </w:t>
      </w:r>
    </w:p>
    <w:p w14:paraId="552B281E" w14:textId="2EC15E39" w:rsidR="006C7E0C" w:rsidRPr="008F5165" w:rsidRDefault="006C7E0C" w:rsidP="006C7E0C">
      <w:pPr>
        <w:jc w:val="both"/>
        <w:rPr>
          <w:b/>
        </w:rPr>
      </w:pPr>
      <w:r w:rsidRPr="008F5165">
        <w:rPr>
          <w:b/>
        </w:rPr>
        <w:t>Η κατάργηση των συλλογικών συμβάσεων και οι ελλιπείς έλεγχοι επιτρέπουν τη διατήρηση αυτών των συνθηκών, ενώ η εύκολη αντικατάσταση των εκπαιδευτικών από νεότερους συναδέλφους με χαμηλότερες αποδοχές εντείνει την επισφάλεια στον κλάδο.</w:t>
      </w:r>
    </w:p>
    <w:p w14:paraId="19FB814A" w14:textId="17742CBE" w:rsidR="006C7E0C" w:rsidRDefault="006C7E0C" w:rsidP="006C7E0C">
      <w:pPr>
        <w:jc w:val="both"/>
      </w:pPr>
      <w:r>
        <w:t xml:space="preserve">Η έρευνα </w:t>
      </w:r>
      <w:r w:rsidR="00865E77">
        <w:t>αναδεικνύει</w:t>
      </w:r>
      <w:r>
        <w:t xml:space="preserve">, επίσης, βασικούς </w:t>
      </w:r>
      <w:r w:rsidRPr="00865E77">
        <w:rPr>
          <w:b/>
          <w:bCs/>
        </w:rPr>
        <w:t>άξονες βελτίωσης των εργασιακών συνθηκών</w:t>
      </w:r>
      <w:r>
        <w:t>, μεταξύ των οποίων συγκαταλέγονται:</w:t>
      </w:r>
    </w:p>
    <w:p w14:paraId="609BA2B6" w14:textId="25AFBD11" w:rsidR="006C7E0C" w:rsidRPr="008F5165" w:rsidRDefault="006C7E0C" w:rsidP="00865E77">
      <w:pPr>
        <w:pStyle w:val="a6"/>
        <w:numPr>
          <w:ilvl w:val="0"/>
          <w:numId w:val="2"/>
        </w:numPr>
        <w:jc w:val="both"/>
        <w:rPr>
          <w:b/>
        </w:rPr>
      </w:pPr>
      <w:r w:rsidRPr="008F5165">
        <w:rPr>
          <w:b/>
        </w:rPr>
        <w:t>Καλύτερες αμοιβές και αποζημίωση της εργασίας που πραγματοποιείται εκτός της αίθουσας διδασκαλίας</w:t>
      </w:r>
    </w:p>
    <w:p w14:paraId="4DBE0E1D" w14:textId="61F4EFEB" w:rsidR="006C7E0C" w:rsidRPr="008F5165" w:rsidRDefault="006C7E0C" w:rsidP="00865E77">
      <w:pPr>
        <w:pStyle w:val="a6"/>
        <w:numPr>
          <w:ilvl w:val="0"/>
          <w:numId w:val="2"/>
        </w:numPr>
        <w:jc w:val="both"/>
        <w:rPr>
          <w:b/>
        </w:rPr>
      </w:pPr>
      <w:r w:rsidRPr="008F5165">
        <w:rPr>
          <w:b/>
        </w:rPr>
        <w:t>Παροχή ουσιαστικής επιμόρφωσης και σεμιναρίων</w:t>
      </w:r>
    </w:p>
    <w:p w14:paraId="0F303AE4" w14:textId="0CA4F3CC" w:rsidR="006C7E0C" w:rsidRPr="008F5165" w:rsidRDefault="006C7E0C" w:rsidP="00865E77">
      <w:pPr>
        <w:pStyle w:val="a6"/>
        <w:numPr>
          <w:ilvl w:val="0"/>
          <w:numId w:val="2"/>
        </w:numPr>
        <w:jc w:val="both"/>
        <w:rPr>
          <w:b/>
        </w:rPr>
      </w:pPr>
      <w:r w:rsidRPr="008F5165">
        <w:rPr>
          <w:b/>
        </w:rPr>
        <w:t>Συνεχόμενο ωράριο</w:t>
      </w:r>
      <w:r w:rsidR="00865E77" w:rsidRPr="008F5165">
        <w:rPr>
          <w:b/>
        </w:rPr>
        <w:t xml:space="preserve"> εργασίας</w:t>
      </w:r>
    </w:p>
    <w:p w14:paraId="0FB09F8B" w14:textId="6B47A287" w:rsidR="00865E77" w:rsidRPr="008F5165" w:rsidRDefault="006C7E0C" w:rsidP="00865E77">
      <w:pPr>
        <w:pStyle w:val="a6"/>
        <w:numPr>
          <w:ilvl w:val="0"/>
          <w:numId w:val="2"/>
        </w:numPr>
        <w:jc w:val="both"/>
        <w:rPr>
          <w:b/>
        </w:rPr>
      </w:pPr>
      <w:r w:rsidRPr="008F5165">
        <w:rPr>
          <w:b/>
        </w:rPr>
        <w:t>Ενίσχυση της κρατικής εποπτείας</w:t>
      </w:r>
    </w:p>
    <w:p w14:paraId="484FF3D3" w14:textId="36330AD5" w:rsidR="006C7E0C" w:rsidRPr="008F5165" w:rsidRDefault="00865E77" w:rsidP="00865E77">
      <w:pPr>
        <w:pStyle w:val="a6"/>
        <w:numPr>
          <w:ilvl w:val="0"/>
          <w:numId w:val="2"/>
        </w:numPr>
        <w:jc w:val="both"/>
        <w:rPr>
          <w:b/>
        </w:rPr>
      </w:pPr>
      <w:r w:rsidRPr="008F5165">
        <w:rPr>
          <w:b/>
        </w:rPr>
        <w:t>Ε</w:t>
      </w:r>
      <w:r w:rsidR="006C7E0C" w:rsidRPr="008F5165">
        <w:rPr>
          <w:b/>
        </w:rPr>
        <w:t>παναφορά συλλογικών διαπραγματεύσεων</w:t>
      </w:r>
    </w:p>
    <w:p w14:paraId="302140FA" w14:textId="58EA26EC" w:rsidR="006C7E0C" w:rsidRDefault="00865E77" w:rsidP="006C7E0C">
      <w:pPr>
        <w:jc w:val="both"/>
      </w:pPr>
      <w:r>
        <w:t>Συνολικά, η</w:t>
      </w:r>
      <w:r w:rsidR="006C7E0C">
        <w:t xml:space="preserve"> βελτίωση του κλάδου </w:t>
      </w:r>
      <w:r>
        <w:t xml:space="preserve">αναφορικά με τις εργασιακές συνθήκες </w:t>
      </w:r>
      <w:r w:rsidR="006C7E0C">
        <w:t xml:space="preserve">απαιτεί μια </w:t>
      </w:r>
      <w:r w:rsidR="006C7E0C" w:rsidRPr="00865E77">
        <w:rPr>
          <w:b/>
          <w:bCs/>
        </w:rPr>
        <w:t>τριμερή προσέγγιση</w:t>
      </w:r>
      <w:r w:rsidR="006C7E0C">
        <w:t>, που περιλαμβάνει:</w:t>
      </w:r>
    </w:p>
    <w:p w14:paraId="06C696A8" w14:textId="29E42173" w:rsidR="006C7E0C" w:rsidRDefault="006C7E0C" w:rsidP="00865E77">
      <w:pPr>
        <w:pStyle w:val="a6"/>
        <w:numPr>
          <w:ilvl w:val="0"/>
          <w:numId w:val="2"/>
        </w:numPr>
        <w:jc w:val="both"/>
      </w:pPr>
      <w:r w:rsidRPr="008F5165">
        <w:rPr>
          <w:b/>
        </w:rPr>
        <w:t>Το κράτος, μέσω της ενίσχυσης του θεσμικού πλαισίου και της αποτελεσματικότερης εποπτείας</w:t>
      </w:r>
      <w:r>
        <w:t>.</w:t>
      </w:r>
    </w:p>
    <w:p w14:paraId="0B8E6AB9" w14:textId="321D2333" w:rsidR="006C7E0C" w:rsidRPr="008F5165" w:rsidRDefault="006C7E0C" w:rsidP="00865E77">
      <w:pPr>
        <w:pStyle w:val="a6"/>
        <w:numPr>
          <w:ilvl w:val="0"/>
          <w:numId w:val="2"/>
        </w:numPr>
        <w:jc w:val="both"/>
        <w:rPr>
          <w:b/>
        </w:rPr>
      </w:pPr>
      <w:r w:rsidRPr="008F5165">
        <w:rPr>
          <w:b/>
        </w:rPr>
        <w:t xml:space="preserve">Τους ιδιοκτήτες των φροντιστηρίων, με </w:t>
      </w:r>
      <w:r w:rsidR="00865E77" w:rsidRPr="008F5165">
        <w:rPr>
          <w:b/>
        </w:rPr>
        <w:t xml:space="preserve">μακρόπνοη </w:t>
      </w:r>
      <w:r w:rsidRPr="008F5165">
        <w:rPr>
          <w:b/>
        </w:rPr>
        <w:t>επένδυση στο ανθρώπινο δυναμικό.</w:t>
      </w:r>
    </w:p>
    <w:p w14:paraId="71A0FDD1" w14:textId="7753F5F9" w:rsidR="006C7E0C" w:rsidRPr="008F5165" w:rsidRDefault="006C7E0C" w:rsidP="00865E77">
      <w:pPr>
        <w:pStyle w:val="a6"/>
        <w:numPr>
          <w:ilvl w:val="0"/>
          <w:numId w:val="2"/>
        </w:numPr>
        <w:jc w:val="both"/>
        <w:rPr>
          <w:b/>
        </w:rPr>
      </w:pPr>
      <w:r w:rsidRPr="008F5165">
        <w:rPr>
          <w:b/>
        </w:rPr>
        <w:t>Τους ίδιους τους εργαζόμενους, μέσα από συλλογική οργάνωση και διεκδίκηση δικαιωμάτων.</w:t>
      </w:r>
    </w:p>
    <w:p w14:paraId="5A00BDAF" w14:textId="77777777" w:rsidR="008F5165" w:rsidRDefault="00123E5C" w:rsidP="00123E5C">
      <w:pPr>
        <w:jc w:val="both"/>
      </w:pPr>
      <w:r>
        <w:t>Η ποιοτική ανάλυση</w:t>
      </w:r>
      <w:r w:rsidRPr="00115689">
        <w:t xml:space="preserve"> δεν εστιάζει μόνο στις εργασιακές συνθήκες των εκπαιδευτικών στα φροντιστήρια γενικής παιδείας, αλλά και στις αντιλήψεις </w:t>
      </w:r>
      <w:r>
        <w:t xml:space="preserve">όλων των εμπλεκόμενων μερών (εκπαιδευτικοί, γονείς, φορείς εκπροσώπησης) </w:t>
      </w:r>
      <w:r w:rsidRPr="00115689">
        <w:t xml:space="preserve">για την </w:t>
      </w:r>
      <w:r w:rsidRPr="00123E5C">
        <w:rPr>
          <w:b/>
          <w:bCs/>
        </w:rPr>
        <w:t>ποιότητα της παρεχόμενης εκπαίδευσης</w:t>
      </w:r>
      <w:r w:rsidRPr="00115689">
        <w:t>.</w:t>
      </w:r>
      <w:r>
        <w:t xml:space="preserve"> </w:t>
      </w:r>
    </w:p>
    <w:p w14:paraId="7791D42E" w14:textId="77777777" w:rsidR="008F5165" w:rsidRDefault="00123E5C" w:rsidP="00123E5C">
      <w:pPr>
        <w:jc w:val="both"/>
      </w:pPr>
      <w:r>
        <w:t>Διερευνώντας, λοιπόν, τα κριτήρια ποιότητας, το</w:t>
      </w:r>
      <w:r w:rsidRPr="00115689">
        <w:t xml:space="preserve"> </w:t>
      </w:r>
      <w:r w:rsidRPr="00123E5C">
        <w:rPr>
          <w:b/>
          <w:bCs/>
        </w:rPr>
        <w:t>ανθρώπινο δυναμικό</w:t>
      </w:r>
      <w:r w:rsidRPr="00115689">
        <w:t xml:space="preserve"> αναδεικνύεται ως ο πιο καθοριστικός παράγοντας ποιότητας. </w:t>
      </w:r>
    </w:p>
    <w:p w14:paraId="19067429" w14:textId="77777777" w:rsidR="008F5165" w:rsidRDefault="00123E5C" w:rsidP="00123E5C">
      <w:pPr>
        <w:jc w:val="both"/>
      </w:pPr>
      <w:r w:rsidRPr="00115689">
        <w:t xml:space="preserve">Κριτήρια όπως η </w:t>
      </w:r>
      <w:r w:rsidRPr="00123E5C">
        <w:rPr>
          <w:b/>
          <w:bCs/>
        </w:rPr>
        <w:t>μεταδοτικότητα</w:t>
      </w:r>
      <w:r w:rsidRPr="00115689">
        <w:t xml:space="preserve">, η </w:t>
      </w:r>
      <w:r w:rsidRPr="00123E5C">
        <w:rPr>
          <w:b/>
          <w:bCs/>
        </w:rPr>
        <w:t>παιδαγωγική επάρκεια</w:t>
      </w:r>
      <w:r w:rsidRPr="00115689">
        <w:t xml:space="preserve">, η </w:t>
      </w:r>
      <w:r w:rsidRPr="00123E5C">
        <w:rPr>
          <w:b/>
          <w:bCs/>
        </w:rPr>
        <w:t>ευελιξία</w:t>
      </w:r>
      <w:r w:rsidRPr="00115689">
        <w:t xml:space="preserve"> και η </w:t>
      </w:r>
      <w:r w:rsidRPr="00123E5C">
        <w:rPr>
          <w:b/>
          <w:bCs/>
        </w:rPr>
        <w:t>διαρκής επιμόρφωση</w:t>
      </w:r>
      <w:r w:rsidRPr="00115689">
        <w:t xml:space="preserve"> των εκπαιδευτικών θεωρούνται απαραίτητα για μια αποτελεσματική μαθησιακή διαδικασία.</w:t>
      </w:r>
      <w:r>
        <w:t xml:space="preserve"> </w:t>
      </w:r>
    </w:p>
    <w:p w14:paraId="1133EF94" w14:textId="28093AA5" w:rsidR="00123E5C" w:rsidRDefault="00123E5C" w:rsidP="00123E5C">
      <w:pPr>
        <w:jc w:val="both"/>
      </w:pPr>
      <w:r w:rsidRPr="00115689">
        <w:lastRenderedPageBreak/>
        <w:t xml:space="preserve">Παράλληλα, η ποιότητα της εκπαίδευσης διαμορφώνεται και από άλλες παραμέτρους, όπως το </w:t>
      </w:r>
      <w:r w:rsidRPr="00123E5C">
        <w:rPr>
          <w:b/>
          <w:bCs/>
        </w:rPr>
        <w:t>εκπαιδευτικό υλικό</w:t>
      </w:r>
      <w:r w:rsidRPr="00115689">
        <w:t xml:space="preserve">, η </w:t>
      </w:r>
      <w:r w:rsidRPr="00123E5C">
        <w:rPr>
          <w:b/>
          <w:bCs/>
        </w:rPr>
        <w:t>οργάνωση του προγράμματος σπουδών</w:t>
      </w:r>
      <w:r w:rsidRPr="00115689">
        <w:t xml:space="preserve">, η χρήση </w:t>
      </w:r>
      <w:r w:rsidRPr="00123E5C">
        <w:rPr>
          <w:b/>
          <w:bCs/>
        </w:rPr>
        <w:t>σύγχρονων μεθόδων διδασκαλίας</w:t>
      </w:r>
      <w:r w:rsidRPr="00115689">
        <w:t xml:space="preserve">, τα </w:t>
      </w:r>
      <w:r w:rsidRPr="00123E5C">
        <w:rPr>
          <w:b/>
          <w:bCs/>
        </w:rPr>
        <w:t>ολιγομελή και ομοιογενή τμήματα</w:t>
      </w:r>
      <w:r w:rsidRPr="00115689">
        <w:t xml:space="preserve"> και η </w:t>
      </w:r>
      <w:r w:rsidRPr="00123E5C">
        <w:rPr>
          <w:b/>
          <w:bCs/>
        </w:rPr>
        <w:t>διαρκής αξιολόγηση</w:t>
      </w:r>
      <w:r w:rsidRPr="00115689">
        <w:t>.</w:t>
      </w:r>
    </w:p>
    <w:p w14:paraId="051B856A" w14:textId="77777777" w:rsidR="00072013" w:rsidRPr="00115689" w:rsidRDefault="00072013" w:rsidP="00123E5C">
      <w:pPr>
        <w:jc w:val="both"/>
      </w:pPr>
    </w:p>
    <w:p w14:paraId="22350C08" w14:textId="77777777" w:rsidR="00D510BA" w:rsidRDefault="00123E5C" w:rsidP="00D510BA">
      <w:r w:rsidRPr="00115689">
        <w:t>Ωστόσο, κάθε ομάδα ενδιαφερόμενων δίνει έμφαση σε διαφορετικές πτυχές της ποιότητας, ανάλογα με τη σχέση της με την εκπαιδευτική διαδικασία:</w:t>
      </w:r>
    </w:p>
    <w:p w14:paraId="18763903" w14:textId="77777777" w:rsidR="00D510BA" w:rsidRDefault="00123E5C" w:rsidP="00D510BA">
      <w:pPr>
        <w:pStyle w:val="a6"/>
        <w:numPr>
          <w:ilvl w:val="0"/>
          <w:numId w:val="4"/>
        </w:numPr>
      </w:pPr>
      <w:r w:rsidRPr="00D510BA">
        <w:rPr>
          <w:b/>
          <w:bCs/>
        </w:rPr>
        <w:t>Οι γονείς</w:t>
      </w:r>
      <w:r w:rsidRPr="00115689">
        <w:t xml:space="preserve"> αξιολογούν πρωτίστως τη </w:t>
      </w:r>
      <w:r w:rsidRPr="00D510BA">
        <w:rPr>
          <w:b/>
          <w:bCs/>
        </w:rPr>
        <w:t>σχέση κόστους-αποδοτικότητας</w:t>
      </w:r>
      <w:r w:rsidRPr="00115689">
        <w:t xml:space="preserve"> και τη </w:t>
      </w:r>
      <w:r w:rsidRPr="00D510BA">
        <w:rPr>
          <w:b/>
          <w:bCs/>
        </w:rPr>
        <w:t>διαρκή ενημέρωση</w:t>
      </w:r>
      <w:r w:rsidRPr="00115689">
        <w:t xml:space="preserve"> από το φροντιστήριο.</w:t>
      </w:r>
    </w:p>
    <w:p w14:paraId="23CE4B82" w14:textId="77777777" w:rsidR="00D510BA" w:rsidRDefault="00123E5C" w:rsidP="00D510BA">
      <w:pPr>
        <w:pStyle w:val="a6"/>
        <w:numPr>
          <w:ilvl w:val="0"/>
          <w:numId w:val="4"/>
        </w:numPr>
      </w:pPr>
      <w:r w:rsidRPr="00D510BA">
        <w:rPr>
          <w:b/>
          <w:bCs/>
        </w:rPr>
        <w:t>Οι εκπαιδευτικοί</w:t>
      </w:r>
      <w:r w:rsidRPr="00115689">
        <w:t xml:space="preserve"> επιζητούν μια </w:t>
      </w:r>
      <w:r w:rsidRPr="00D510BA">
        <w:rPr>
          <w:b/>
          <w:bCs/>
        </w:rPr>
        <w:t>αρμονική σχέση με τη διοίκηση και τους γονείς</w:t>
      </w:r>
      <w:r w:rsidRPr="00115689">
        <w:t xml:space="preserve">, αλλά και </w:t>
      </w:r>
      <w:r w:rsidRPr="00D510BA">
        <w:rPr>
          <w:b/>
          <w:bCs/>
        </w:rPr>
        <w:t>βελτιωμένες εργασιακές συνθήκες</w:t>
      </w:r>
      <w:r w:rsidRPr="00115689">
        <w:t>.</w:t>
      </w:r>
    </w:p>
    <w:p w14:paraId="107AC255" w14:textId="6732D2CF" w:rsidR="00123E5C" w:rsidRPr="00115689" w:rsidRDefault="00123E5C" w:rsidP="00D510BA">
      <w:pPr>
        <w:pStyle w:val="a6"/>
        <w:numPr>
          <w:ilvl w:val="0"/>
          <w:numId w:val="4"/>
        </w:numPr>
      </w:pPr>
      <w:r w:rsidRPr="00D510BA">
        <w:rPr>
          <w:b/>
          <w:bCs/>
        </w:rPr>
        <w:t>Οι φορείς εκπροσώπησης</w:t>
      </w:r>
      <w:r w:rsidRPr="00115689">
        <w:t xml:space="preserve"> υπογραμμίζουν τη σημασία της </w:t>
      </w:r>
      <w:r w:rsidRPr="00D510BA">
        <w:rPr>
          <w:b/>
          <w:bCs/>
        </w:rPr>
        <w:t>μακρόπνοης επένδυσης σε ποιοτικές εργασιακές σχέσεις</w:t>
      </w:r>
      <w:r w:rsidRPr="00115689">
        <w:t xml:space="preserve">, θεωρώντας ότι </w:t>
      </w:r>
      <w:r w:rsidRPr="008F5165">
        <w:rPr>
          <w:b/>
        </w:rPr>
        <w:t>η σταθερότητα και η υποστήριξη των εκπαιδευτικών συμβάλλουν στην αποτελεσματικότητα της εκπαιδευτικής διαδικασίας</w:t>
      </w:r>
      <w:r w:rsidRPr="00115689">
        <w:t>.</w:t>
      </w:r>
    </w:p>
    <w:p w14:paraId="4836271F" w14:textId="23033D93" w:rsidR="006C7E0C" w:rsidRDefault="00123E5C" w:rsidP="006C7E0C">
      <w:pPr>
        <w:jc w:val="both"/>
      </w:pPr>
      <w:r w:rsidRPr="00123E5C">
        <w:t xml:space="preserve">Η έρευνα καταδεικνύει ότι η </w:t>
      </w:r>
      <w:r w:rsidRPr="008F5165">
        <w:rPr>
          <w:b/>
        </w:rPr>
        <w:t>βελτίωση των εργασιακών συνθηκών των εκπαιδευτικών και η ενίσχυση της ποιότητας της φροντιστηριακής εκπαίδευσης είναι αλληλένδετες διαδικασίες</w:t>
      </w:r>
      <w:r w:rsidRPr="00123E5C">
        <w:t xml:space="preserve">. Η διασφάλιση θεσμικών εγγυήσεων, η </w:t>
      </w:r>
      <w:r w:rsidRPr="008F5165">
        <w:rPr>
          <w:b/>
        </w:rPr>
        <w:t>συνεχής επιμόρφωση και η επένδυση στο ανθρώπινο δυναμικό αποτελούν κρίσιμες προϋποθέσεις για ένα βιώσιμο και ποιοτικό εκπαιδευτικό περιβάλλον</w:t>
      </w:r>
      <w:r w:rsidRPr="00123E5C">
        <w:t>.</w:t>
      </w:r>
    </w:p>
    <w:sectPr w:rsidR="006C7E0C" w:rsidSect="00B764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91" w:bottom="1440" w:left="119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19082" w14:textId="77777777" w:rsidR="0060612A" w:rsidRDefault="0060612A" w:rsidP="009D1A4D">
      <w:pPr>
        <w:spacing w:after="0" w:line="240" w:lineRule="auto"/>
      </w:pPr>
      <w:r>
        <w:separator/>
      </w:r>
    </w:p>
  </w:endnote>
  <w:endnote w:type="continuationSeparator" w:id="0">
    <w:p w14:paraId="61379879" w14:textId="77777777" w:rsidR="0060612A" w:rsidRDefault="0060612A" w:rsidP="009D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77839" w14:textId="11D2CA63" w:rsidR="0049608D" w:rsidRDefault="0049608D" w:rsidP="00B7643D">
    <w:pPr>
      <w:pStyle w:val="ab"/>
      <w:jc w:val="center"/>
    </w:pPr>
    <w:r w:rsidRPr="009D1A4D">
      <w:rPr>
        <w:noProof/>
        <w:sz w:val="20"/>
        <w:szCs w:val="20"/>
        <w:lang w:eastAsia="el-GR"/>
      </w:rPr>
      <w:drawing>
        <wp:anchor distT="0" distB="0" distL="114300" distR="114300" simplePos="0" relativeHeight="251665408" behindDoc="0" locked="0" layoutInCell="1" allowOverlap="1" wp14:anchorId="6914841E" wp14:editId="45FECAC5">
          <wp:simplePos x="0" y="0"/>
          <wp:positionH relativeFrom="page">
            <wp:posOffset>35560</wp:posOffset>
          </wp:positionH>
          <wp:positionV relativeFrom="page">
            <wp:posOffset>9796145</wp:posOffset>
          </wp:positionV>
          <wp:extent cx="7470000" cy="576000"/>
          <wp:effectExtent l="0" t="0" r="0" b="0"/>
          <wp:wrapSquare wrapText="bothSides"/>
          <wp:docPr id="520887136" name="Picture 3" descr="Εικόνα που περιέχει κείμενο, γραμματοσειρά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558411" name="Picture 3" descr="Εικόνα που περιέχει κείμενο, γραμματοσειρά, στιγμιότυπο οθόνη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3" b="52699"/>
                  <a:stretch>
                    <a:fillRect/>
                  </a:stretch>
                </pic:blipFill>
                <pic:spPr bwMode="auto">
                  <a:xfrm>
                    <a:off x="0" y="0"/>
                    <a:ext cx="7470000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1A4D">
      <w:rPr>
        <w:sz w:val="20"/>
        <w:szCs w:val="20"/>
      </w:rPr>
      <w:fldChar w:fldCharType="begin"/>
    </w:r>
    <w:r w:rsidRPr="009D1A4D">
      <w:rPr>
        <w:sz w:val="20"/>
        <w:szCs w:val="20"/>
      </w:rPr>
      <w:instrText>PAGE</w:instrText>
    </w:r>
    <w:r w:rsidRPr="009D1A4D">
      <w:rPr>
        <w:sz w:val="20"/>
        <w:szCs w:val="20"/>
      </w:rPr>
      <w:fldChar w:fldCharType="separate"/>
    </w:r>
    <w:r w:rsidR="002D1824">
      <w:rPr>
        <w:noProof/>
        <w:sz w:val="20"/>
        <w:szCs w:val="20"/>
      </w:rPr>
      <w:t>2</w:t>
    </w:r>
    <w:r w:rsidRPr="009D1A4D">
      <w:rPr>
        <w:sz w:val="20"/>
        <w:szCs w:val="20"/>
      </w:rPr>
      <w:fldChar w:fldCharType="end"/>
    </w:r>
    <w:r w:rsidRPr="009D1A4D">
      <w:rPr>
        <w:sz w:val="20"/>
        <w:szCs w:val="20"/>
      </w:rPr>
      <w:t xml:space="preserve"> από </w:t>
    </w:r>
    <w:r w:rsidRPr="009D1A4D">
      <w:rPr>
        <w:sz w:val="20"/>
        <w:szCs w:val="20"/>
      </w:rPr>
      <w:fldChar w:fldCharType="begin"/>
    </w:r>
    <w:r w:rsidRPr="009D1A4D">
      <w:rPr>
        <w:sz w:val="20"/>
        <w:szCs w:val="20"/>
      </w:rPr>
      <w:instrText>NUMPAGES</w:instrText>
    </w:r>
    <w:r w:rsidRPr="009D1A4D">
      <w:rPr>
        <w:sz w:val="20"/>
        <w:szCs w:val="20"/>
      </w:rPr>
      <w:fldChar w:fldCharType="separate"/>
    </w:r>
    <w:r w:rsidR="002D1824">
      <w:rPr>
        <w:noProof/>
        <w:sz w:val="20"/>
        <w:szCs w:val="20"/>
      </w:rPr>
      <w:t>7</w:t>
    </w:r>
    <w:r w:rsidRPr="009D1A4D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D2E0F" w14:textId="6FDCB3F0" w:rsidR="0049608D" w:rsidRDefault="0049608D">
    <w:pPr>
      <w:pStyle w:val="ab"/>
    </w:pPr>
    <w:r>
      <w:rPr>
        <w:noProof/>
        <w:lang w:eastAsia="el-GR"/>
      </w:rPr>
      <w:drawing>
        <wp:anchor distT="0" distB="0" distL="114300" distR="114300" simplePos="0" relativeHeight="251663360" behindDoc="0" locked="0" layoutInCell="1" allowOverlap="1" wp14:anchorId="00EFEAC3" wp14:editId="0D4DF081">
          <wp:simplePos x="0" y="0"/>
          <wp:positionH relativeFrom="page">
            <wp:posOffset>36195</wp:posOffset>
          </wp:positionH>
          <wp:positionV relativeFrom="page">
            <wp:posOffset>9796780</wp:posOffset>
          </wp:positionV>
          <wp:extent cx="7470000" cy="576000"/>
          <wp:effectExtent l="0" t="0" r="0" b="0"/>
          <wp:wrapSquare wrapText="bothSides"/>
          <wp:docPr id="1520558411" name="Picture 3" descr="Εικόνα που περιέχει κείμενο, γραμματοσειρά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558411" name="Picture 3" descr="Εικόνα που περιέχει κείμενο, γραμματοσειρά, στιγμιότυπο οθόνη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83" b="52699"/>
                  <a:stretch>
                    <a:fillRect/>
                  </a:stretch>
                </pic:blipFill>
                <pic:spPr bwMode="auto">
                  <a:xfrm>
                    <a:off x="0" y="0"/>
                    <a:ext cx="7470000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04881" w14:textId="77777777" w:rsidR="0060612A" w:rsidRDefault="0060612A" w:rsidP="009D1A4D">
      <w:pPr>
        <w:spacing w:after="0" w:line="240" w:lineRule="auto"/>
      </w:pPr>
      <w:r>
        <w:separator/>
      </w:r>
    </w:p>
  </w:footnote>
  <w:footnote w:type="continuationSeparator" w:id="0">
    <w:p w14:paraId="7AC75E1F" w14:textId="77777777" w:rsidR="0060612A" w:rsidRDefault="0060612A" w:rsidP="009D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6676F" w14:textId="679D0517" w:rsidR="0049608D" w:rsidRDefault="0049608D">
    <w:pPr>
      <w:pStyle w:val="aa"/>
    </w:pPr>
    <w:r w:rsidRPr="005242D2">
      <w:rPr>
        <w:rFonts w:ascii="Calibri Light" w:hAnsi="Calibri Light" w:cs="Calibri Light"/>
        <w:b/>
        <w:noProof/>
        <w:lang w:eastAsia="el-G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DD93C5E" wp14:editId="723C733F">
              <wp:simplePos x="0" y="0"/>
              <wp:positionH relativeFrom="margin">
                <wp:align>center</wp:align>
              </wp:positionH>
              <wp:positionV relativeFrom="page">
                <wp:posOffset>345440</wp:posOffset>
              </wp:positionV>
              <wp:extent cx="6120000" cy="560070"/>
              <wp:effectExtent l="0" t="0" r="0" b="0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5600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5AA343" w14:textId="77777777" w:rsidR="0049608D" w:rsidRPr="009B18D0" w:rsidRDefault="0049608D" w:rsidP="009D1A4D">
                          <w:pPr>
                            <w:pStyle w:val="aa"/>
                            <w:pBdr>
                              <w:bottom w:val="single" w:sz="4" w:space="1" w:color="CD5C00"/>
                            </w:pBdr>
                            <w:rPr>
                              <w:rFonts w:ascii="Calibri Light" w:hAnsi="Calibri Light" w:cs="Calibri Light"/>
                              <w:color w:val="002D83"/>
                              <w:sz w:val="20"/>
                              <w:szCs w:val="20"/>
                            </w:rPr>
                          </w:pPr>
                          <w:r w:rsidRPr="009B18D0">
                            <w:rPr>
                              <w:rFonts w:ascii="Calibri Light" w:hAnsi="Calibri Light" w:cs="Calibri Light"/>
                              <w:color w:val="002D83"/>
                              <w:sz w:val="20"/>
                              <w:szCs w:val="20"/>
                            </w:rPr>
                            <w:t>ΚΕΝΤΡΟ ΑΝΑΠΤΥΞΗΣ ΕΚΠΑΙΔΕΥΤΙΚΗΣ ΠΟΛΙΤΙΚΗΣ της Γ.Σ.Ε.Ε.</w:t>
                          </w:r>
                        </w:p>
                      </w:txbxContent>
                    </wps:txbx>
                    <wps:bodyPr rot="0" vert="horz" wrap="square" lIns="0" tIns="45720" rIns="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0DD93C5E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0;margin-top:27.2pt;width:481.9pt;height:44.1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KO8wEAAMUDAAAOAAAAZHJzL2Uyb0RvYy54bWysU8FuEzEQvSPxD5bvZDcRScsqm6q0BCGV&#10;glT4gInXm7WwPcZ2shu+nrGzSSN6q7hYY4/9Zt6b5+XNYDTbSx8U2ppPJyVn0gpslN3W/OeP9btr&#10;zkIE24BGK2t+kIHfrN6+WfaukjPsUDfSMwKxoepdzbsYXVUUQXTSQJigk5aSLXoDkbZ+WzQeekI3&#10;upiV5aLo0TfOo5Ah0On9MclXGb9tpYjf2jbIyHTNqbeYV5/XTVqL1RKqrQfXKTG2Aa/owoCyVPQM&#10;dQ8R2M6rF1BGCY8B2zgRaApsWyVk5kBspuU/bJ46cDJzIXGCO8sU/h+seNw/ue+exeEjDjTATCK4&#10;BxS/ArN414Hdylvvse8kNFR4miQreheq8WmSOlQhgWz6r9jQkGEXMQMNrTdJFeLJCJ0GcDiLLofI&#10;BB0upjTHklKCcvNFWV7lqRRQnV47H+JniYaloOaehprRYf8QYuoGqtOVVMziWmmdB6st62v+YT6b&#10;5wcXGaMi+U4rU/PrVH50QiL5yTb5cQSljzEV0HZknYgeKcdhM9DFxH6DzYH4ezz6i/4DBR36P5z1&#10;5K2ah9878JIz/cWShsmIOXg/v5rRxp9ON5enYAVB1DxydgzvYjZu4hjcLWm8Vpn+cwdjj+SVrMro&#10;62TGy32+9fz7Vn8BAAD//wMAUEsDBBQABgAIAAAAIQCX70K32gAAAAcBAAAPAAAAZHJzL2Rvd25y&#10;ZXYueG1sTI9BT4NAFITvJv6HzTPxZhdbJIosjTEavdraeH2wTyCybwm7pfDvfZ7scTKTmW+K7ex6&#10;NdEYOs8GblcJKOLa244bA5/715t7UCEiW+w9k4GFAmzLy4sCc+tP/EHTLjZKSjjkaKCNcci1DnVL&#10;DsPKD8TiffvRYRQ5NtqOeJJy1+t1kmTaYcey0OJAzy3VP7ujM+D26fvhbfnazBkeKv0Su8FOizHX&#10;V/PTI6hIc/wPwx++oEMpTJU/sg2qNyBHooG7NAUl7kO2kSOVxNJ1Bros9Dl/+QsAAP//AwBQSwEC&#10;LQAUAAYACAAAACEAtoM4kv4AAADhAQAAEwAAAAAAAAAAAAAAAAAAAAAAW0NvbnRlbnRfVHlwZXNd&#10;LnhtbFBLAQItABQABgAIAAAAIQA4/SH/1gAAAJQBAAALAAAAAAAAAAAAAAAAAC8BAABfcmVscy8u&#10;cmVsc1BLAQItABQABgAIAAAAIQCvGNKO8wEAAMUDAAAOAAAAAAAAAAAAAAAAAC4CAABkcnMvZTJv&#10;RG9jLnhtbFBLAQItABQABgAIAAAAIQCX70K32gAAAAcBAAAPAAAAAAAAAAAAAAAAAE0EAABkcnMv&#10;ZG93bnJldi54bWxQSwUGAAAAAAQABADzAAAAVAUAAAAA&#10;" filled="f" stroked="f">
              <v:textbox style="mso-fit-shape-to-text:t" inset="0,,0">
                <w:txbxContent>
                  <w:p w14:paraId="3F5AA343" w14:textId="77777777" w:rsidR="0049608D" w:rsidRPr="009B18D0" w:rsidRDefault="0049608D" w:rsidP="009D1A4D">
                    <w:pPr>
                      <w:pStyle w:val="aa"/>
                      <w:pBdr>
                        <w:bottom w:val="single" w:sz="4" w:space="1" w:color="CD5C00"/>
                      </w:pBdr>
                      <w:rPr>
                        <w:rFonts w:ascii="Calibri Light" w:hAnsi="Calibri Light" w:cs="Calibri Light"/>
                        <w:color w:val="002D83"/>
                        <w:sz w:val="20"/>
                        <w:szCs w:val="20"/>
                      </w:rPr>
                    </w:pPr>
                    <w:r w:rsidRPr="009B18D0">
                      <w:rPr>
                        <w:rFonts w:ascii="Calibri Light" w:hAnsi="Calibri Light" w:cs="Calibri Light"/>
                        <w:color w:val="002D83"/>
                        <w:sz w:val="20"/>
                        <w:szCs w:val="20"/>
                      </w:rPr>
                      <w:t>ΚΕΝΤΡΟ ΑΝΑΠΤΥΞΗΣ ΕΚΠΑΙΔΕΥΤΙΚΗΣ ΠΟΛΙΤΙΚΗΣ της Γ.Σ.Ε.Ε.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1485A" w14:textId="04F6D6E2" w:rsidR="0049608D" w:rsidRDefault="0049608D">
    <w:pPr>
      <w:pStyle w:val="aa"/>
    </w:pPr>
    <w:r>
      <w:rPr>
        <w:rFonts w:ascii="Calibri" w:hAnsi="Calibri" w:cs="Arial"/>
        <w:b/>
        <w:noProof/>
        <w:lang w:eastAsia="el-GR"/>
      </w:rPr>
      <w:drawing>
        <wp:anchor distT="0" distB="0" distL="114300" distR="114300" simplePos="0" relativeHeight="251661312" behindDoc="0" locked="0" layoutInCell="1" allowOverlap="1" wp14:anchorId="0C9E458A" wp14:editId="43E71715">
          <wp:simplePos x="0" y="0"/>
          <wp:positionH relativeFrom="page">
            <wp:posOffset>-219710</wp:posOffset>
          </wp:positionH>
          <wp:positionV relativeFrom="page">
            <wp:posOffset>-28575</wp:posOffset>
          </wp:positionV>
          <wp:extent cx="8647200" cy="1486800"/>
          <wp:effectExtent l="0" t="0" r="1905" b="0"/>
          <wp:wrapNone/>
          <wp:docPr id="922679757" name="Εικόνα 1" descr="Εικόνα που περιέχει κείμεν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636111" name="Εικόνα 1" descr="Εικόνα που περιέχει κείμεν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50" b="11138"/>
                  <a:stretch/>
                </pic:blipFill>
                <pic:spPr bwMode="auto">
                  <a:xfrm>
                    <a:off x="0" y="0"/>
                    <a:ext cx="8647200" cy="148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697"/>
    <w:multiLevelType w:val="hybridMultilevel"/>
    <w:tmpl w:val="DBC0CD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7665"/>
    <w:multiLevelType w:val="hybridMultilevel"/>
    <w:tmpl w:val="ABB6D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B3E28"/>
    <w:multiLevelType w:val="hybridMultilevel"/>
    <w:tmpl w:val="889C4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B6FE4"/>
    <w:multiLevelType w:val="hybridMultilevel"/>
    <w:tmpl w:val="787CC1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05234"/>
    <w:multiLevelType w:val="hybridMultilevel"/>
    <w:tmpl w:val="AC527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4D"/>
    <w:rsid w:val="000312AE"/>
    <w:rsid w:val="00072013"/>
    <w:rsid w:val="00076591"/>
    <w:rsid w:val="000807DD"/>
    <w:rsid w:val="000927B0"/>
    <w:rsid w:val="000A2EEC"/>
    <w:rsid w:val="000F53CB"/>
    <w:rsid w:val="00107779"/>
    <w:rsid w:val="00123E5C"/>
    <w:rsid w:val="001551AD"/>
    <w:rsid w:val="00161600"/>
    <w:rsid w:val="00162DB4"/>
    <w:rsid w:val="001D1A82"/>
    <w:rsid w:val="001D35CD"/>
    <w:rsid w:val="002110F8"/>
    <w:rsid w:val="002133E8"/>
    <w:rsid w:val="00252025"/>
    <w:rsid w:val="002566A8"/>
    <w:rsid w:val="002D0213"/>
    <w:rsid w:val="002D1824"/>
    <w:rsid w:val="002F5D2E"/>
    <w:rsid w:val="00325430"/>
    <w:rsid w:val="0035601B"/>
    <w:rsid w:val="003639CD"/>
    <w:rsid w:val="00391D7D"/>
    <w:rsid w:val="00421A10"/>
    <w:rsid w:val="00426368"/>
    <w:rsid w:val="0042732E"/>
    <w:rsid w:val="00440669"/>
    <w:rsid w:val="00455BF7"/>
    <w:rsid w:val="00486F4A"/>
    <w:rsid w:val="00490F42"/>
    <w:rsid w:val="00494A04"/>
    <w:rsid w:val="0049608D"/>
    <w:rsid w:val="004F32D2"/>
    <w:rsid w:val="00503A6E"/>
    <w:rsid w:val="00525136"/>
    <w:rsid w:val="00534FD6"/>
    <w:rsid w:val="00551BF0"/>
    <w:rsid w:val="00567546"/>
    <w:rsid w:val="005709CC"/>
    <w:rsid w:val="00582E14"/>
    <w:rsid w:val="005B4043"/>
    <w:rsid w:val="005E711B"/>
    <w:rsid w:val="0060612A"/>
    <w:rsid w:val="00667C80"/>
    <w:rsid w:val="006A785F"/>
    <w:rsid w:val="006C7E0C"/>
    <w:rsid w:val="006D1BF2"/>
    <w:rsid w:val="006F5B10"/>
    <w:rsid w:val="0076229A"/>
    <w:rsid w:val="007678D0"/>
    <w:rsid w:val="007703F8"/>
    <w:rsid w:val="00783FF0"/>
    <w:rsid w:val="007A0732"/>
    <w:rsid w:val="007B2125"/>
    <w:rsid w:val="007C6739"/>
    <w:rsid w:val="007F1F25"/>
    <w:rsid w:val="00800699"/>
    <w:rsid w:val="00805092"/>
    <w:rsid w:val="00842D64"/>
    <w:rsid w:val="008610FB"/>
    <w:rsid w:val="00865E77"/>
    <w:rsid w:val="008F170C"/>
    <w:rsid w:val="008F5165"/>
    <w:rsid w:val="0093284F"/>
    <w:rsid w:val="009A6DDB"/>
    <w:rsid w:val="009B18D0"/>
    <w:rsid w:val="009B681F"/>
    <w:rsid w:val="009D1A4D"/>
    <w:rsid w:val="00A012DA"/>
    <w:rsid w:val="00A15E2F"/>
    <w:rsid w:val="00A21A44"/>
    <w:rsid w:val="00A7637E"/>
    <w:rsid w:val="00A84231"/>
    <w:rsid w:val="00A90689"/>
    <w:rsid w:val="00AB20EA"/>
    <w:rsid w:val="00AD2766"/>
    <w:rsid w:val="00B31624"/>
    <w:rsid w:val="00B7643D"/>
    <w:rsid w:val="00B92490"/>
    <w:rsid w:val="00C41EC5"/>
    <w:rsid w:val="00C47B18"/>
    <w:rsid w:val="00C5468E"/>
    <w:rsid w:val="00C64A50"/>
    <w:rsid w:val="00CF1620"/>
    <w:rsid w:val="00D23507"/>
    <w:rsid w:val="00D510BA"/>
    <w:rsid w:val="00D5444E"/>
    <w:rsid w:val="00D60968"/>
    <w:rsid w:val="00D820BA"/>
    <w:rsid w:val="00DA1F0E"/>
    <w:rsid w:val="00DC4F78"/>
    <w:rsid w:val="00E25430"/>
    <w:rsid w:val="00E369C8"/>
    <w:rsid w:val="00E96534"/>
    <w:rsid w:val="00EB1797"/>
    <w:rsid w:val="00EF1AD2"/>
    <w:rsid w:val="00F04BE5"/>
    <w:rsid w:val="00F139EB"/>
    <w:rsid w:val="00F93D19"/>
    <w:rsid w:val="00FA1DDD"/>
    <w:rsid w:val="00FC02DC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25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3D"/>
  </w:style>
  <w:style w:type="paragraph" w:styleId="1">
    <w:name w:val="heading 1"/>
    <w:basedOn w:val="a"/>
    <w:next w:val="a"/>
    <w:link w:val="1Char"/>
    <w:uiPriority w:val="9"/>
    <w:qFormat/>
    <w:rsid w:val="009D1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2D83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1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1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1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1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1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1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1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D1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9B18D0"/>
    <w:rPr>
      <w:rFonts w:asciiTheme="majorHAnsi" w:eastAsiaTheme="majorEastAsia" w:hAnsiTheme="majorHAnsi" w:cstheme="majorBidi"/>
      <w:color w:val="002D83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D1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D1A4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D1A4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D1A4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D1A4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D1A4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D1A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1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D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1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D1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D1A4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1A4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1A4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1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D1A4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1A4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D1A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9D1A4D"/>
  </w:style>
  <w:style w:type="paragraph" w:styleId="ab">
    <w:name w:val="footer"/>
    <w:basedOn w:val="a"/>
    <w:link w:val="Char4"/>
    <w:uiPriority w:val="99"/>
    <w:unhideWhenUsed/>
    <w:rsid w:val="009D1A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9D1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3D"/>
  </w:style>
  <w:style w:type="paragraph" w:styleId="1">
    <w:name w:val="heading 1"/>
    <w:basedOn w:val="a"/>
    <w:next w:val="a"/>
    <w:link w:val="1Char"/>
    <w:uiPriority w:val="9"/>
    <w:qFormat/>
    <w:rsid w:val="009D1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2D83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1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1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1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1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1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1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1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D1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9B18D0"/>
    <w:rPr>
      <w:rFonts w:asciiTheme="majorHAnsi" w:eastAsiaTheme="majorEastAsia" w:hAnsiTheme="majorHAnsi" w:cstheme="majorBidi"/>
      <w:color w:val="002D83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D1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D1A4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D1A4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D1A4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D1A4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D1A4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D1A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1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D1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1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D1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1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D1A4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1A4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1A4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1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9D1A4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1A4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D1A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9D1A4D"/>
  </w:style>
  <w:style w:type="paragraph" w:styleId="ab">
    <w:name w:val="footer"/>
    <w:basedOn w:val="a"/>
    <w:link w:val="Char4"/>
    <w:uiPriority w:val="99"/>
    <w:unhideWhenUsed/>
    <w:rsid w:val="009D1A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9D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3004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Fatourou</dc:creator>
  <cp:lastModifiedBy>ΓΡΑΦΕΙΟ ΤΥΠΟΥ ΓΣΕΕ</cp:lastModifiedBy>
  <cp:revision>3</cp:revision>
  <dcterms:created xsi:type="dcterms:W3CDTF">2025-03-31T06:29:00Z</dcterms:created>
  <dcterms:modified xsi:type="dcterms:W3CDTF">2025-03-31T06:30:00Z</dcterms:modified>
</cp:coreProperties>
</file>